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台州市椒江区红十字会</w:t>
      </w:r>
      <w:r>
        <w:rPr>
          <w:rFonts w:hint="eastAsia" w:ascii="方正小标宋简体" w:hAnsi="方正小标宋简体" w:eastAsia="方正小标宋简体" w:cs="方正小标宋简体"/>
          <w:bCs/>
          <w:spacing w:val="15"/>
          <w:sz w:val="44"/>
          <w:szCs w:val="44"/>
        </w:rPr>
        <w:t>2024年部门预算</w:t>
      </w:r>
    </w:p>
    <w:p>
      <w:pPr>
        <w:spacing w:line="560" w:lineRule="exact"/>
        <w:ind w:firstLine="590" w:firstLineChars="196"/>
        <w:rPr>
          <w:rStyle w:val="10"/>
          <w:color w:val="000000"/>
          <w:sz w:val="30"/>
          <w:szCs w:val="30"/>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w:t>
      </w:r>
      <w:r>
        <w:rPr>
          <w:rStyle w:val="10"/>
          <w:rFonts w:hint="eastAsia" w:ascii="黑体" w:eastAsia="黑体"/>
          <w:b w:val="0"/>
          <w:color w:val="000000"/>
          <w:sz w:val="32"/>
          <w:szCs w:val="32"/>
        </w:rPr>
        <w:t>部门概况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二、2024年台州市椒江区红十字会部门预算安排情况说明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（一）关于台州市椒江区红十字会2024年收支预算情况的总体说明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（二）关于台州市椒江区红十字会2024年收入预算情况说明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（三）关于台州市椒江区红十字会2024年支出预算情况说明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（四）关于台州市椒江区红十字会2024年财政拨款收支预算情况的总体说明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（五）关于台州市椒江区红十字会2024年一般公共预算拨款情况说明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（六）关于台州市椒江区红十字会2024年一般公共预算基本支出情况说明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（七）关于台州市椒江区红十字会2024年政府性基金预算支出情况说明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（八）关于台州市椒江区红十字会2024年国有资本经营预算支出情况说明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（九）关于台州市椒江区红十字会2024年一般公共预算“三公”经费预算情况说明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四、2024年台州市椒江区红十字会部门预算表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（一）2024年部门收支预算总表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（二）2024年部门收入预算总表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（三）2024年部门支出预算总表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（四）2024年部门财政拨款收支预算总表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（五）2024年部门一般公共预算支出表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（六）2024年部门一般公共预算基本支出表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（七）2024年部门一般公共预算“三公”经费支出表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（八）2024年部门政府性基金预算支出表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（九）2024年部门国有资本经营预算支出表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（十）2024年部门项目支出预算表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（十一）2024年部门项目支出绩效表</w:t>
      </w:r>
    </w:p>
    <w:p>
      <w:pPr>
        <w:spacing w:line="520" w:lineRule="exact"/>
        <w:ind w:firstLine="627" w:firstLineChars="196"/>
        <w:rPr>
          <w:rStyle w:val="10"/>
          <w:rFonts w:ascii="黑体" w:eastAsia="黑体"/>
          <w:b w:val="0"/>
          <w:color w:val="00000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tabs>
          <w:tab w:val="left" w:pos="2608"/>
        </w:tabs>
        <w:rPr>
          <w:rStyle w:val="10"/>
          <w:rFonts w:hint="default" w:ascii="黑体" w:eastAsia="黑体"/>
          <w:b w:val="0"/>
          <w:sz w:val="32"/>
          <w:szCs w:val="32"/>
        </w:rPr>
      </w:pPr>
      <w:r>
        <w:rPr>
          <w:rStyle w:val="10"/>
          <w:rFonts w:ascii="黑体" w:eastAsia="黑体"/>
          <w:b w:val="0"/>
          <w:sz w:val="32"/>
          <w:szCs w:val="32"/>
        </w:rPr>
        <w:tab/>
      </w:r>
    </w:p>
    <w:p>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一、部门概况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pStyle w:val="6"/>
        <w:keepNext w:val="0"/>
        <w:keepLines w:val="0"/>
        <w:widowControl/>
        <w:suppressLineNumbers w:val="0"/>
        <w:snapToGrid w:val="0"/>
        <w:spacing w:before="0" w:beforeAutospacing="0" w:after="0" w:afterAutospacing="0" w:line="645" w:lineRule="atLeast"/>
        <w:ind w:left="0" w:right="0" w:firstLine="620" w:firstLineChars="20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椒江区红十字会是负责全区红十字工作的区政府组成部门。主要职能有：</w:t>
      </w:r>
    </w:p>
    <w:p>
      <w:pPr>
        <w:pStyle w:val="6"/>
        <w:keepNext w:val="0"/>
        <w:keepLines w:val="0"/>
        <w:widowControl/>
        <w:suppressLineNumbers w:val="0"/>
        <w:snapToGrid w:val="0"/>
        <w:spacing w:before="0" w:beforeAutospacing="0" w:after="0" w:afterAutospacing="0" w:line="645" w:lineRule="atLeast"/>
        <w:ind w:left="0" w:right="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1.为保护人民的生命和健康，发扬人道主义精神，促进和平进步事业。</w:t>
      </w:r>
    </w:p>
    <w:p>
      <w:pPr>
        <w:pStyle w:val="6"/>
        <w:keepNext w:val="0"/>
        <w:keepLines w:val="0"/>
        <w:widowControl/>
        <w:suppressLineNumbers w:val="0"/>
        <w:snapToGrid w:val="0"/>
        <w:spacing w:before="0" w:beforeAutospacing="0" w:after="0" w:afterAutospacing="0" w:line="645" w:lineRule="atLeast"/>
        <w:ind w:left="0" w:right="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2.宣传贯彻《中华人民共和国红十字会法》，传播红十字知识。</w:t>
      </w:r>
    </w:p>
    <w:p>
      <w:pPr>
        <w:pStyle w:val="6"/>
        <w:keepNext w:val="0"/>
        <w:keepLines w:val="0"/>
        <w:widowControl/>
        <w:suppressLineNumbers w:val="0"/>
        <w:snapToGrid w:val="0"/>
        <w:spacing w:before="0" w:beforeAutospacing="0" w:after="0" w:afterAutospacing="0" w:line="645" w:lineRule="atLeast"/>
        <w:ind w:left="0" w:right="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3.开展救灾备灾工作，筹措救灾款物。</w:t>
      </w:r>
    </w:p>
    <w:p>
      <w:pPr>
        <w:pStyle w:val="6"/>
        <w:keepNext w:val="0"/>
        <w:keepLines w:val="0"/>
        <w:widowControl/>
        <w:suppressLineNumbers w:val="0"/>
        <w:snapToGrid w:val="0"/>
        <w:spacing w:before="0" w:beforeAutospacing="0" w:after="0" w:afterAutospacing="0" w:line="645" w:lineRule="atLeast"/>
        <w:ind w:left="0" w:right="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4.普及卫生救护和防病知识，开展救护培训。</w:t>
      </w:r>
    </w:p>
    <w:p>
      <w:pPr>
        <w:pStyle w:val="6"/>
        <w:keepNext w:val="0"/>
        <w:keepLines w:val="0"/>
        <w:widowControl/>
        <w:suppressLineNumbers w:val="0"/>
        <w:snapToGrid w:val="0"/>
        <w:spacing w:before="0" w:beforeAutospacing="0" w:after="0" w:afterAutospacing="0" w:line="645" w:lineRule="atLeast"/>
        <w:ind w:left="0" w:right="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5.开展造血干细胞捐献宣传动员，推进无偿献血工作。</w:t>
      </w:r>
    </w:p>
    <w:p>
      <w:pPr>
        <w:pStyle w:val="6"/>
        <w:keepNext w:val="0"/>
        <w:keepLines w:val="0"/>
        <w:widowControl/>
        <w:suppressLineNumbers w:val="0"/>
        <w:snapToGrid w:val="0"/>
        <w:spacing w:before="0" w:beforeAutospacing="0" w:after="0" w:afterAutospacing="0" w:line="645" w:lineRule="atLeast"/>
        <w:ind w:left="0" w:right="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6.开展红十字青少年活动。</w:t>
      </w:r>
    </w:p>
    <w:p>
      <w:pPr>
        <w:pStyle w:val="6"/>
        <w:keepNext w:val="0"/>
        <w:keepLines w:val="0"/>
        <w:widowControl/>
        <w:suppressLineNumbers w:val="0"/>
        <w:snapToGrid w:val="0"/>
        <w:spacing w:before="0" w:beforeAutospacing="0" w:after="0" w:afterAutospacing="0" w:line="645" w:lineRule="atLeast"/>
        <w:ind w:left="0" w:right="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7．参加国际人道救援工作。</w:t>
      </w:r>
    </w:p>
    <w:p>
      <w:pPr>
        <w:pStyle w:val="6"/>
        <w:keepNext w:val="0"/>
        <w:keepLines w:val="0"/>
        <w:widowControl/>
        <w:suppressLineNumbers w:val="0"/>
        <w:snapToGrid w:val="0"/>
        <w:spacing w:before="0" w:beforeAutospacing="0" w:after="0" w:afterAutospacing="0" w:line="645" w:lineRule="atLeast"/>
        <w:ind w:left="0" w:right="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8.完成同级政府和上级红十字会委托的有关事项。</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ind w:firstLine="627" w:firstLineChars="196"/>
      </w:pPr>
      <w:r>
        <w:rPr>
          <w:rFonts w:hint="eastAsia" w:ascii="仿宋_GB2312" w:eastAsia="仿宋_GB2312"/>
          <w:bCs/>
          <w:sz w:val="32"/>
          <w:szCs w:val="32"/>
        </w:rPr>
        <w:t>从预算单位构成看，台州市椒江区红十字会预算包括：</w:t>
      </w:r>
      <w:r>
        <w:rPr>
          <w:rFonts w:hint="eastAsia" w:ascii="仿宋_GB2312" w:eastAsia="仿宋_GB2312"/>
          <w:bCs/>
          <w:sz w:val="32"/>
          <w:szCs w:val="32"/>
          <w:highlight w:val="none"/>
        </w:rPr>
        <w:fldChar w:fldCharType="begin"/>
      </w:r>
      <w:r>
        <w:rPr>
          <w:rFonts w:hint="eastAsia" w:ascii="仿宋_GB2312" w:eastAsia="仿宋_GB2312"/>
          <w:bCs/>
          <w:sz w:val="32"/>
          <w:szCs w:val="32"/>
          <w:highlight w:val="none"/>
        </w:rPr>
        <w:instrText xml:space="preserve">MERGEFIELD ${page855778723.ds388518707_V_RPT_BAS_AGENCY_INFO_LEINAME}</w:instrText>
      </w:r>
      <w:r>
        <w:rPr>
          <w:rFonts w:hint="eastAsia" w:ascii="仿宋_GB2312" w:eastAsia="仿宋_GB2312"/>
          <w:bCs/>
          <w:sz w:val="32"/>
          <w:szCs w:val="32"/>
          <w:highlight w:val="none"/>
        </w:rPr>
        <w:fldChar w:fldCharType="separate"/>
      </w:r>
      <w:r>
        <w:rPr>
          <w:rFonts w:hint="eastAsia" w:ascii="仿宋_GB2312" w:eastAsia="仿宋_GB2312"/>
          <w:bCs/>
          <w:sz w:val="32"/>
          <w:szCs w:val="32"/>
          <w:highlight w:val="none"/>
        </w:rPr>
        <w:t>台州市椒江区红十字会</w:t>
      </w:r>
      <w:r>
        <w:fldChar w:fldCharType="end"/>
      </w:r>
      <w:r>
        <w:rPr>
          <w:rFonts w:hint="eastAsia" w:ascii="仿宋_GB2312" w:eastAsia="仿宋_GB2312"/>
          <w:bCs/>
          <w:sz w:val="32"/>
          <w:szCs w:val="32"/>
          <w:highlight w:val="none"/>
        </w:rPr>
        <w:t>本级预算。</w:t>
      </w:r>
    </w:p>
    <w:p>
      <w:pPr>
        <w:spacing w:line="520" w:lineRule="exact"/>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二、2024年台州市椒江区红十字会部门预算安排情况说明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（一）关于台州市椒江区红十字会</w:t>
      </w:r>
      <w:r>
        <w:rPr>
          <w:rStyle w:val="10"/>
          <w:rFonts w:hint="eastAsia" w:ascii="楷体_GB2312" w:hAnsi="楷体_GB2312" w:eastAsia="楷体_GB2312" w:cs="楷体_GB2312"/>
          <w:b w:val="0"/>
          <w:bCs w:val="0"/>
          <w:color w:val="000000"/>
          <w:sz w:val="32"/>
          <w:szCs w:val="32"/>
        </w:rPr>
        <w:t>2024年收支预算情况的总体说明</w:t>
      </w:r>
    </w:p>
    <w:p>
      <w:pPr>
        <w:spacing w:line="520" w:lineRule="exact"/>
        <w:ind w:firstLine="480" w:firstLineChars="150"/>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综合预算的原则，台州市椒江区红十字会</w:t>
      </w:r>
      <w:r>
        <w:rPr>
          <w:rFonts w:hint="eastAsia" w:ascii="仿宋_GB2312" w:eastAsia="仿宋_GB2312"/>
          <w:color w:val="000000"/>
          <w:sz w:val="32"/>
          <w:szCs w:val="32"/>
        </w:rPr>
        <w:t>所有收入和支出均纳入部门预算管理。收入包括：</w:t>
      </w:r>
      <w:r>
        <w:rPr>
          <w:rFonts w:hint="eastAsia" w:ascii="仿宋_GB2312" w:eastAsia="仿宋_GB2312"/>
          <w:color w:val="000000"/>
          <w:sz w:val="32"/>
          <w:szCs w:val="32"/>
          <w:highlight w:val="none"/>
          <w:lang w:eastAsia="zh-CN"/>
        </w:rPr>
        <w:t>一般公共预算拨款收入；支出包括：教育支出、社会保障和就业支出、卫生健康支出、住房保障支出。</w:t>
      </w:r>
      <w:r>
        <w:rPr>
          <w:rFonts w:hint="eastAsia" w:ascii="仿宋_GB2312" w:eastAsia="仿宋_GB2312"/>
          <w:color w:val="000000"/>
          <w:sz w:val="32"/>
          <w:szCs w:val="32"/>
        </w:rPr>
        <w:t>台州市椒江区红十字会2024年收支总预算231.70万元。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（二）关于台州市椒江区红十字会2024年收入预算情况说明</w:t>
      </w:r>
    </w:p>
    <w:p>
      <w:pPr>
        <w:spacing w:line="520" w:lineRule="exact"/>
        <w:ind w:firstLine="642"/>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台州市椒江区红十字会2024年收入预算231.70万元，比上年执行数减少</w:t>
      </w:r>
      <w:r>
        <w:rPr>
          <w:rFonts w:hint="eastAsia" w:ascii="仿宋_GB2312" w:hAnsi="仿宋_GB2312" w:eastAsia="仿宋_GB2312" w:cs="仿宋_GB2312"/>
          <w:color w:val="000000"/>
          <w:sz w:val="32"/>
          <w:szCs w:val="32"/>
          <w:highlight w:val="none"/>
          <w:lang w:val="en-US" w:eastAsia="zh-CN"/>
        </w:rPr>
        <w:t>7.56</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项目</w:t>
      </w:r>
      <w:r>
        <w:rPr>
          <w:rFonts w:hint="eastAsia" w:ascii="仿宋_GB2312" w:hAnsi="仿宋_GB2312" w:eastAsia="仿宋_GB2312" w:cs="仿宋_GB2312"/>
          <w:color w:val="000000"/>
          <w:sz w:val="32"/>
          <w:szCs w:val="32"/>
          <w:highlight w:val="none"/>
        </w:rPr>
        <w:t>应急救护培训</w:t>
      </w:r>
      <w:r>
        <w:rPr>
          <w:rFonts w:hint="eastAsia" w:ascii="仿宋_GB2312" w:hAnsi="仿宋_GB2312" w:eastAsia="仿宋_GB2312" w:cs="仿宋_GB2312"/>
          <w:color w:val="000000"/>
          <w:sz w:val="32"/>
          <w:szCs w:val="32"/>
          <w:highlight w:val="none"/>
          <w:lang w:eastAsia="zh-CN"/>
        </w:rPr>
        <w:t>减少导致的</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其中：一般公共预算拨款收入231.70万元（上年结转0.00万元），占100.0%。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（三）关于台州市椒江区红十字会2024年支出预算情况说明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台州市椒江区红十字会</w:t>
      </w:r>
      <w:r>
        <w:rPr>
          <w:rFonts w:hint="eastAsia" w:ascii="仿宋_GB2312" w:hAnsi="仿宋_GB2312" w:eastAsia="仿宋_GB2312" w:cs="仿宋_GB2312"/>
          <w:color w:val="000000"/>
          <w:sz w:val="32"/>
          <w:szCs w:val="32"/>
          <w:highlight w:val="none"/>
        </w:rPr>
        <w:t>2024年支出预算231.70万元，比上年执行数减少</w:t>
      </w:r>
      <w:r>
        <w:rPr>
          <w:rFonts w:hint="eastAsia" w:ascii="仿宋_GB2312" w:hAnsi="仿宋_GB2312" w:eastAsia="仿宋_GB2312" w:cs="仿宋_GB2312"/>
          <w:color w:val="000000"/>
          <w:sz w:val="32"/>
          <w:szCs w:val="32"/>
          <w:highlight w:val="none"/>
          <w:lang w:val="en-US" w:eastAsia="zh-CN"/>
        </w:rPr>
        <w:t>7.56</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项目</w:t>
      </w:r>
      <w:r>
        <w:rPr>
          <w:rFonts w:hint="eastAsia" w:ascii="仿宋_GB2312" w:hAnsi="仿宋_GB2312" w:eastAsia="仿宋_GB2312" w:cs="仿宋_GB2312"/>
          <w:color w:val="000000"/>
          <w:sz w:val="32"/>
          <w:szCs w:val="32"/>
          <w:highlight w:val="none"/>
        </w:rPr>
        <w:t>应急救护培训</w:t>
      </w:r>
      <w:r>
        <w:rPr>
          <w:rFonts w:hint="eastAsia" w:ascii="仿宋_GB2312" w:hAnsi="仿宋_GB2312" w:eastAsia="仿宋_GB2312" w:cs="仿宋_GB2312"/>
          <w:color w:val="000000"/>
          <w:sz w:val="32"/>
          <w:szCs w:val="32"/>
          <w:highlight w:val="none"/>
          <w:lang w:eastAsia="zh-CN"/>
        </w:rPr>
        <w:t>减少导致的</w:t>
      </w:r>
      <w:r>
        <w:rPr>
          <w:rFonts w:hint="eastAsia" w:ascii="仿宋_GB2312" w:hAnsi="仿宋_GB2312" w:eastAsia="仿宋_GB2312" w:cs="仿宋_GB2312"/>
          <w:color w:val="000000"/>
          <w:sz w:val="32"/>
          <w:szCs w:val="32"/>
          <w:highlight w:val="none"/>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1.按支出功能分类，包括教育支出0.80万元、社会保障和就业支出210.40万元、卫生健康支出6.53万元、住房保障支出13.97万元。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2.按支出用途分类，包括人员支出153.44万元，占66.2%；日常公用支出24.51万元，占10.6%；项目支出53.75万元，占23.2%。</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（四）关于台州市椒江区红十字会2024年财政拨款收支预算情况的总体说明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台州市椒江区红十字会2024年财政拨款收支总预算231.70万元。收入包括：一般公共预算231.70万元；支出包括：教育支出0.80万元、社会保障和就业支出210.40万元、卫生健康支出6.53万元、住房保障支出13.97万元。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关于台州市椒江区红十字会2024年一般公共预算拨款情况说明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台州市椒江区红十字会2024年一般公共预算拨款</w:t>
      </w:r>
      <w:r>
        <w:rPr>
          <w:rFonts w:hint="eastAsia" w:ascii="仿宋_GB2312" w:hAnsi="仿宋_GB2312" w:eastAsia="仿宋_GB2312" w:cs="仿宋_GB2312"/>
          <w:bCs/>
          <w:color w:val="000000"/>
          <w:sz w:val="32"/>
          <w:szCs w:val="32"/>
          <w:highlight w:val="none"/>
        </w:rPr>
        <w:t>231.70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rPr>
        <w:t>比上年执行数减少</w:t>
      </w:r>
      <w:r>
        <w:rPr>
          <w:rFonts w:hint="eastAsia" w:ascii="仿宋_GB2312" w:hAnsi="仿宋_GB2312" w:eastAsia="仿宋_GB2312" w:cs="仿宋_GB2312"/>
          <w:color w:val="000000"/>
          <w:sz w:val="32"/>
          <w:szCs w:val="32"/>
          <w:highlight w:val="none"/>
          <w:lang w:val="en-US" w:eastAsia="zh-CN"/>
        </w:rPr>
        <w:t>7.56</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项目</w:t>
      </w:r>
      <w:r>
        <w:rPr>
          <w:rFonts w:hint="eastAsia" w:ascii="仿宋_GB2312" w:hAnsi="仿宋_GB2312" w:eastAsia="仿宋_GB2312" w:cs="仿宋_GB2312"/>
          <w:color w:val="000000"/>
          <w:sz w:val="32"/>
          <w:szCs w:val="32"/>
          <w:highlight w:val="none"/>
        </w:rPr>
        <w:t>应急救护培训</w:t>
      </w:r>
      <w:r>
        <w:rPr>
          <w:rFonts w:hint="eastAsia" w:ascii="仿宋_GB2312" w:hAnsi="仿宋_GB2312" w:eastAsia="仿宋_GB2312" w:cs="仿宋_GB2312"/>
          <w:color w:val="000000"/>
          <w:sz w:val="32"/>
          <w:szCs w:val="32"/>
          <w:highlight w:val="none"/>
          <w:lang w:eastAsia="zh-CN"/>
        </w:rPr>
        <w:t>减少导致的</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教育支出0.80万元，占0.3%；社会保障和就业支出210.40万元，占90.8%；卫生健康支出6.53万元，占2.8%；住房保障支出13.97万元，占6.</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p>
    <w:p>
      <w:pPr>
        <w:numPr>
          <w:ilvl w:val="0"/>
          <w:numId w:val="2"/>
        </w:num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一般公共预算拨款具体使用情况。</w:t>
      </w:r>
    </w:p>
    <w:p>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jc w:val="left"/>
        <w:textAlignment w:val="auto"/>
      </w:pPr>
      <w:r>
        <w:rPr>
          <w:rFonts w:hint="default" w:ascii="仿宋_GB2312" w:eastAsia="仿宋_GB2312" w:cs="仿宋_GB2312"/>
          <w:color w:val="000000"/>
          <w:sz w:val="31"/>
          <w:szCs w:val="31"/>
        </w:rPr>
        <w:t>（1）社会保障和就业支出（类）红十字事业（款）行政运行（项）</w:t>
      </w:r>
      <w:r>
        <w:rPr>
          <w:rFonts w:hint="eastAsia" w:ascii="仿宋_GB2312" w:eastAsia="仿宋_GB2312" w:cs="仿宋_GB2312"/>
          <w:color w:val="000000"/>
          <w:sz w:val="31"/>
          <w:szCs w:val="31"/>
          <w:lang w:val="en-US" w:eastAsia="zh-CN"/>
        </w:rPr>
        <w:t>134.26</w:t>
      </w:r>
      <w:r>
        <w:rPr>
          <w:rFonts w:hint="default" w:ascii="仿宋_GB2312" w:eastAsia="仿宋_GB2312" w:cs="仿宋_GB2312"/>
          <w:color w:val="000000"/>
          <w:sz w:val="31"/>
          <w:szCs w:val="31"/>
        </w:rPr>
        <w:t>万元，</w:t>
      </w:r>
      <w:r>
        <w:rPr>
          <w:rFonts w:hint="eastAsia" w:ascii="仿宋" w:hAnsi="仿宋" w:eastAsia="仿宋" w:cs="仿宋"/>
          <w:color w:val="000000"/>
          <w:sz w:val="32"/>
          <w:szCs w:val="32"/>
        </w:rPr>
        <w:t>主要用于行政人员工资福利支出和日常公用支出等。</w:t>
      </w:r>
    </w:p>
    <w:p>
      <w:pPr>
        <w:pStyle w:val="6"/>
        <w:keepNext w:val="0"/>
        <w:keepLines w:val="0"/>
        <w:widowControl/>
        <w:suppressLineNumbers w:val="0"/>
        <w:snapToGrid w:val="0"/>
        <w:spacing w:before="0" w:beforeAutospacing="0" w:after="0" w:afterAutospacing="0" w:line="645" w:lineRule="atLeast"/>
        <w:ind w:left="0" w:right="0" w:firstLine="645"/>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（2）社会保障和就业支出（类）红十字事业（款）一般行政管理事务（项）</w:t>
      </w:r>
      <w:r>
        <w:rPr>
          <w:rFonts w:hint="eastAsia" w:ascii="仿宋_GB2312" w:eastAsia="仿宋_GB2312" w:cs="仿宋_GB2312"/>
          <w:color w:val="000000"/>
          <w:sz w:val="31"/>
          <w:szCs w:val="31"/>
          <w:lang w:val="en-US" w:eastAsia="zh-CN"/>
        </w:rPr>
        <w:t>53.75</w:t>
      </w:r>
      <w:r>
        <w:rPr>
          <w:rFonts w:hint="default" w:ascii="仿宋_GB2312" w:eastAsia="仿宋_GB2312" w:cs="仿宋_GB2312"/>
          <w:color w:val="000000"/>
          <w:sz w:val="31"/>
          <w:szCs w:val="31"/>
        </w:rPr>
        <w:t>万元，主要用于红十字会为开展备灾救灾、红十字与青少年志愿者工作、红十字组织建设、人道救助专项、生命关爱活动、应急救护培训</w:t>
      </w:r>
      <w:r>
        <w:rPr>
          <w:rFonts w:hint="eastAsia" w:ascii="仿宋_GB2312" w:eastAsia="仿宋_GB2312" w:cs="仿宋_GB2312"/>
          <w:color w:val="000000"/>
          <w:sz w:val="31"/>
          <w:szCs w:val="31"/>
          <w:lang w:eastAsia="zh-CN"/>
        </w:rPr>
        <w:t>、设备购置费</w:t>
      </w:r>
      <w:r>
        <w:rPr>
          <w:rFonts w:hint="default" w:ascii="仿宋_GB2312" w:eastAsia="仿宋_GB2312" w:cs="仿宋_GB2312"/>
          <w:color w:val="000000"/>
          <w:sz w:val="31"/>
          <w:szCs w:val="31"/>
        </w:rPr>
        <w:t>等方面支出。</w:t>
      </w:r>
    </w:p>
    <w:p>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jc w:val="left"/>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教育支出（类）进修及培训（款）培训支出（项）</w:t>
      </w:r>
      <w:r>
        <w:rPr>
          <w:rFonts w:hint="eastAsia" w:ascii="仿宋" w:hAnsi="仿宋" w:eastAsia="仿宋" w:cs="仿宋"/>
          <w:color w:val="000000"/>
          <w:sz w:val="32"/>
          <w:szCs w:val="32"/>
          <w:lang w:val="en-US" w:eastAsia="zh-CN"/>
        </w:rPr>
        <w:t>0.8</w:t>
      </w:r>
      <w:r>
        <w:rPr>
          <w:rFonts w:hint="eastAsia" w:ascii="仿宋" w:hAnsi="仿宋" w:eastAsia="仿宋" w:cs="仿宋"/>
          <w:color w:val="000000"/>
          <w:sz w:val="32"/>
          <w:szCs w:val="32"/>
        </w:rPr>
        <w:t>万元，主要用于干部职工的日常培训支出。</w:t>
      </w:r>
    </w:p>
    <w:p>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jc w:val="left"/>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社会保障和就业支出（类）行政事业单位养老支出（款）机关事业单位基本养老保险缴费支出（项）</w:t>
      </w:r>
      <w:r>
        <w:rPr>
          <w:rFonts w:hint="eastAsia" w:ascii="仿宋" w:hAnsi="仿宋" w:eastAsia="仿宋" w:cs="仿宋"/>
          <w:color w:val="000000"/>
          <w:sz w:val="32"/>
          <w:szCs w:val="32"/>
          <w:lang w:val="en-US" w:eastAsia="zh-CN"/>
        </w:rPr>
        <w:t>14.93</w:t>
      </w:r>
      <w:r>
        <w:rPr>
          <w:rFonts w:hint="eastAsia" w:ascii="仿宋" w:hAnsi="仿宋" w:eastAsia="仿宋" w:cs="仿宋"/>
          <w:color w:val="000000"/>
          <w:sz w:val="32"/>
          <w:szCs w:val="32"/>
        </w:rPr>
        <w:t>万元，主要用于事业单位实施养老保险制度由单位缴纳的基本养老保险费支出。</w:t>
      </w:r>
    </w:p>
    <w:p>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jc w:val="left"/>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社会保障和就业支出（类）行政事业单位养老支出（款）机关事业单位职业年金缴费支出（项）</w:t>
      </w:r>
      <w:r>
        <w:rPr>
          <w:rFonts w:hint="eastAsia" w:ascii="仿宋" w:hAnsi="仿宋" w:eastAsia="仿宋" w:cs="仿宋"/>
          <w:color w:val="000000"/>
          <w:sz w:val="32"/>
          <w:szCs w:val="32"/>
          <w:lang w:val="en-US" w:eastAsia="zh-CN"/>
        </w:rPr>
        <w:t>7.46</w:t>
      </w:r>
      <w:r>
        <w:rPr>
          <w:rFonts w:hint="eastAsia" w:ascii="仿宋" w:hAnsi="仿宋" w:eastAsia="仿宋" w:cs="仿宋"/>
          <w:color w:val="000000"/>
          <w:sz w:val="32"/>
          <w:szCs w:val="32"/>
        </w:rPr>
        <w:t>万元，主要用于机关事业单位实施养老保险制度由单位实际缴纳的职业年金支出。</w:t>
      </w:r>
    </w:p>
    <w:p>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jc w:val="left"/>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支出（类）行政事业单位医疗（款）行政单位医疗（项）</w:t>
      </w:r>
      <w:r>
        <w:rPr>
          <w:rFonts w:hint="eastAsia" w:ascii="仿宋" w:hAnsi="仿宋" w:eastAsia="仿宋" w:cs="仿宋"/>
          <w:color w:val="000000"/>
          <w:sz w:val="32"/>
          <w:szCs w:val="32"/>
          <w:lang w:val="en-US" w:eastAsia="zh-CN"/>
        </w:rPr>
        <w:t>3.38</w:t>
      </w:r>
      <w:r>
        <w:rPr>
          <w:rFonts w:hint="eastAsia" w:ascii="仿宋" w:hAnsi="仿宋" w:eastAsia="仿宋" w:cs="仿宋"/>
          <w:color w:val="000000"/>
          <w:sz w:val="32"/>
          <w:szCs w:val="32"/>
        </w:rPr>
        <w:t>万元，主要用于行政人员基本医疗保险缴费经费支出。</w:t>
      </w:r>
    </w:p>
    <w:p>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支出（类）行政事业单位医疗（款）</w:t>
      </w:r>
      <w:r>
        <w:rPr>
          <w:rFonts w:hint="eastAsia" w:ascii="仿宋" w:hAnsi="仿宋" w:eastAsia="仿宋" w:cs="仿宋"/>
          <w:color w:val="000000"/>
          <w:sz w:val="32"/>
          <w:szCs w:val="32"/>
          <w:lang w:eastAsia="zh-CN"/>
        </w:rPr>
        <w:t>公务员医疗补助</w:t>
      </w:r>
      <w:r>
        <w:rPr>
          <w:rFonts w:hint="eastAsia" w:ascii="仿宋" w:hAnsi="仿宋" w:eastAsia="仿宋" w:cs="仿宋"/>
          <w:color w:val="000000"/>
          <w:sz w:val="32"/>
          <w:szCs w:val="32"/>
        </w:rPr>
        <w:t>（项）</w:t>
      </w:r>
      <w:r>
        <w:rPr>
          <w:rFonts w:hint="eastAsia" w:ascii="仿宋" w:hAnsi="仿宋" w:eastAsia="仿宋" w:cs="仿宋"/>
          <w:color w:val="000000"/>
          <w:sz w:val="32"/>
          <w:szCs w:val="32"/>
          <w:lang w:val="en-US" w:eastAsia="zh-CN"/>
        </w:rPr>
        <w:t>3.15</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lang w:eastAsia="zh-CN"/>
        </w:rPr>
        <w:t>行政和</w:t>
      </w:r>
      <w:r>
        <w:rPr>
          <w:rFonts w:hint="eastAsia" w:ascii="仿宋" w:hAnsi="仿宋" w:eastAsia="仿宋" w:cs="仿宋"/>
          <w:color w:val="000000"/>
          <w:sz w:val="32"/>
          <w:szCs w:val="32"/>
        </w:rPr>
        <w:t>事业人员</w:t>
      </w:r>
      <w:r>
        <w:rPr>
          <w:rFonts w:hint="eastAsia" w:ascii="仿宋" w:hAnsi="仿宋" w:eastAsia="仿宋" w:cs="仿宋"/>
          <w:color w:val="000000"/>
          <w:sz w:val="32"/>
          <w:szCs w:val="32"/>
          <w:lang w:eastAsia="zh-CN"/>
        </w:rPr>
        <w:t>公务员医疗补助</w:t>
      </w:r>
      <w:r>
        <w:rPr>
          <w:rFonts w:hint="eastAsia" w:ascii="仿宋" w:hAnsi="仿宋" w:eastAsia="仿宋" w:cs="仿宋"/>
          <w:color w:val="000000"/>
          <w:sz w:val="32"/>
          <w:szCs w:val="32"/>
        </w:rPr>
        <w:t>经费支出。</w:t>
      </w:r>
    </w:p>
    <w:p>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jc w:val="left"/>
        <w:textAlignment w:val="auto"/>
        <w:rPr>
          <w:rFonts w:hint="default" w:ascii="仿宋_GB2312" w:eastAsia="仿宋_GB2312" w:cs="仿宋_GB2312"/>
          <w:color w:val="000000"/>
          <w:sz w:val="31"/>
          <w:szCs w:val="31"/>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住房保障支出（类）住房改革支出（款）住房公积金（项）</w:t>
      </w:r>
      <w:r>
        <w:rPr>
          <w:rFonts w:hint="eastAsia" w:ascii="仿宋" w:hAnsi="仿宋" w:eastAsia="仿宋" w:cs="仿宋"/>
          <w:color w:val="000000"/>
          <w:sz w:val="32"/>
          <w:szCs w:val="32"/>
          <w:lang w:val="en-US" w:eastAsia="zh-CN"/>
        </w:rPr>
        <w:t>13.97</w:t>
      </w:r>
      <w:r>
        <w:rPr>
          <w:rFonts w:hint="eastAsia" w:ascii="仿宋" w:hAnsi="仿宋" w:eastAsia="仿宋" w:cs="仿宋"/>
          <w:color w:val="000000"/>
          <w:sz w:val="32"/>
          <w:szCs w:val="32"/>
        </w:rPr>
        <w:t>万元，主要用于职工缴纳的住房公积金支出。</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（六）关于台州市椒江区红十字会2024年一般公共预算基本支出情况说明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台州市椒江区红十字会2024年一般公共预算基本支出177.95万元，其中：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olor w:val="000000"/>
          <w:sz w:val="32"/>
          <w:szCs w:val="32"/>
        </w:rPr>
        <w:t>人员经费153.44万元，</w:t>
      </w:r>
      <w:r>
        <w:rPr>
          <w:rFonts w:hint="eastAsia" w:ascii="仿宋_GB2312" w:eastAsia="仿宋_GB2312" w:cs="Times New Roman"/>
          <w:b w:val="0"/>
          <w:color w:val="000000"/>
          <w:sz w:val="32"/>
          <w:szCs w:val="32"/>
          <w:highlight w:val="none"/>
          <w:lang w:val="en-US" w:eastAsia="zh-CN"/>
        </w:rPr>
        <w:t>主要包括：基本工资、津贴补贴、奖金、机关事业单位基本养老保险缴费、职业年金缴费、职工基本医疗保险缴费、公务员医疗补助缴费、其他社会保障缴费、住房公积金、其他工资福利支出、其他对个人和家庭的补助；</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olor w:val="000000"/>
          <w:sz w:val="32"/>
          <w:szCs w:val="32"/>
        </w:rPr>
        <w:t>公用经费24.51万元，</w:t>
      </w:r>
      <w:r>
        <w:rPr>
          <w:rFonts w:hint="eastAsia" w:ascii="仿宋_GB2312" w:eastAsia="仿宋_GB2312" w:cs="Times New Roman"/>
          <w:b w:val="0"/>
          <w:color w:val="000000"/>
          <w:sz w:val="32"/>
          <w:szCs w:val="32"/>
          <w:highlight w:val="none"/>
          <w:lang w:val="en-US" w:eastAsia="zh-CN"/>
        </w:rPr>
        <w:t>主要包括：办公费、邮电费、培训费、劳务费、工会经费、福利费、其他交通费用、其他商品和服务支出。</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（七）关于台州市椒江区红十字会2024年政府性基金预算支出情况说明</w:t>
      </w:r>
    </w:p>
    <w:p>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color w:val="000000"/>
          <w:sz w:val="32"/>
          <w:szCs w:val="32"/>
          <w:highlight w:val="none"/>
        </w:rPr>
        <w:t>台州市椒江区红十字会2024年没有使用政府性基金预算拨款安排的支出</w:t>
      </w:r>
      <w:r>
        <w:rPr>
          <w:rFonts w:hint="eastAsia" w:ascii="仿宋_GB2312" w:eastAsia="仿宋_GB2312"/>
          <w:color w:val="000000"/>
          <w:sz w:val="32"/>
          <w:szCs w:val="32"/>
          <w:highlight w:val="none"/>
        </w:rPr>
        <w:t>，与上年持平</w:t>
      </w:r>
      <w:r>
        <w:rPr>
          <w:rFonts w:hint="eastAsia" w:ascii="仿宋_GB2312" w:hAnsi="仿宋_GB2312" w:eastAsia="仿宋_GB2312" w:cs="仿宋_GB2312"/>
          <w:b/>
          <w:color w:val="000000"/>
          <w:sz w:val="32"/>
          <w:szCs w:val="32"/>
          <w:highlight w:val="none"/>
        </w:rPr>
        <w:t>。</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台州市椒江区红十字会2024</w:t>
      </w:r>
      <w:r>
        <w:rPr>
          <w:rFonts w:hint="eastAsia" w:ascii="楷体_GB2312" w:hAnsi="楷体_GB2312" w:eastAsia="楷体_GB2312" w:cs="楷体_GB2312"/>
          <w:bCs/>
          <w:color w:val="000000"/>
          <w:sz w:val="32"/>
          <w:szCs w:val="32"/>
          <w:highlight w:val="none"/>
        </w:rPr>
        <w:t>年国有资本经营预算支出情况说明</w:t>
      </w:r>
    </w:p>
    <w:p>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color w:val="000000"/>
          <w:sz w:val="32"/>
          <w:szCs w:val="32"/>
          <w:highlight w:val="none"/>
        </w:rPr>
        <w:t>台州市椒江区红十字会2024年没有使用国有资本经营预算拨款安排的支出，与上年持平</w:t>
      </w:r>
      <w:r>
        <w:rPr>
          <w:rFonts w:hint="eastAsia" w:ascii="仿宋_GB2312" w:hAnsi="仿宋_GB2312" w:eastAsia="仿宋_GB2312" w:cs="仿宋_GB2312"/>
          <w:b/>
          <w:color w:val="000000"/>
          <w:sz w:val="32"/>
          <w:szCs w:val="32"/>
          <w:highlight w:val="none"/>
        </w:rPr>
        <w:t>。</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（九）关于台州市椒江区红十字会2024年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rPr>
        <w:t>台州市椒江区红十字会2024年“三公”经费预算数为0.30万元，</w:t>
      </w:r>
      <w:r>
        <w:rPr>
          <w:rFonts w:hint="eastAsia" w:ascii="仿宋_GB2312" w:hAnsi="仿宋_GB2312" w:eastAsia="仿宋_GB2312" w:cs="Times New Roman"/>
          <w:kern w:val="2"/>
          <w:sz w:val="32"/>
          <w:szCs w:val="20"/>
          <w:shd w:val="clear" w:color="auto" w:fill="FFFFFF"/>
          <w:lang w:val="en-US" w:eastAsia="zh-CN" w:bidi="ar"/>
        </w:rPr>
        <w:t>与上年预算数持平，</w:t>
      </w:r>
      <w:r>
        <w:rPr>
          <w:rFonts w:hint="eastAsia" w:ascii="仿宋_GB2312" w:hAnsi="仿宋_GB2312" w:eastAsia="仿宋_GB2312"/>
          <w:sz w:val="32"/>
          <w:lang w:eastAsia="zh-CN"/>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根据因公出国计划和实际工作需要，2024年安排因公出国（境）费用预算0.00万元，</w:t>
      </w:r>
      <w:r>
        <w:rPr>
          <w:rFonts w:hint="eastAsia" w:ascii="仿宋_GB2312" w:hAnsi="仿宋_GB2312" w:eastAsia="仿宋_GB2312" w:cs="Times New Roman"/>
          <w:kern w:val="2"/>
          <w:sz w:val="32"/>
          <w:szCs w:val="20"/>
          <w:shd w:val="clear" w:color="auto" w:fill="FFFFFF"/>
          <w:lang w:val="en-US" w:eastAsia="zh-CN" w:bidi="ar"/>
        </w:rPr>
        <w:t>与上年预算数持平，增长比例不可计算</w:t>
      </w:r>
      <w:r>
        <w:rPr>
          <w:rFonts w:hint="eastAsia" w:ascii="仿宋_GB2312" w:hAnsi="仿宋_GB2312" w:eastAsia="仿宋_GB2312" w:cs="仿宋_GB2312"/>
          <w:sz w:val="32"/>
          <w:szCs w:val="32"/>
        </w:rPr>
        <w:t>。主要用于机关及下属预算单位人员等公务出国（境）的国际旅费、国外城市间交通费、住宿费、伙食费、培训费、公杂费等支出。</w:t>
      </w:r>
      <w:r>
        <w:rPr>
          <w:rFonts w:hint="eastAsia" w:ascii="仿宋_GB2312" w:hAnsi="仿宋_GB2312" w:eastAsia="仿宋_GB2312" w:cs="Times New Roman"/>
          <w:color w:val="auto"/>
          <w:kern w:val="2"/>
          <w:sz w:val="32"/>
          <w:szCs w:val="20"/>
          <w:lang w:val="en-US" w:eastAsia="zh-CN" w:bidi="ar-SA"/>
        </w:rPr>
        <w:t>持平的主要原因是 2023 年及 2024年本部门均未安排因公出国（境）费用</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2.公务接待费：2024年安排公务接待费预算0.30万元，</w:t>
      </w:r>
      <w:r>
        <w:rPr>
          <w:rFonts w:hint="eastAsia" w:ascii="仿宋_GB2312" w:hAnsi="仿宋_GB2312" w:eastAsia="仿宋_GB2312" w:cs="Times New Roman"/>
          <w:kern w:val="2"/>
          <w:sz w:val="32"/>
          <w:szCs w:val="20"/>
          <w:shd w:val="clear" w:color="auto" w:fill="FFFFFF"/>
          <w:lang w:val="en-US" w:eastAsia="zh-CN" w:bidi="ar"/>
        </w:rPr>
        <w:t>与上年预算数持平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主要用于接待</w:t>
      </w:r>
      <w:r>
        <w:rPr>
          <w:rFonts w:hint="eastAsia" w:ascii="仿宋_GB2312" w:hAnsi="仿宋_GB2312" w:eastAsia="仿宋_GB2312" w:cs="仿宋_GB2312"/>
          <w:sz w:val="32"/>
          <w:szCs w:val="32"/>
          <w:highlight w:val="none"/>
          <w:lang w:val="en-US" w:eastAsia="zh-CN"/>
        </w:rPr>
        <w:t>省红会来椒江调研工作</w:t>
      </w:r>
      <w:r>
        <w:rPr>
          <w:rFonts w:hint="eastAsia" w:ascii="仿宋_GB2312" w:hAnsi="仿宋_GB2312" w:eastAsia="仿宋_GB2312" w:cs="仿宋_GB2312"/>
          <w:sz w:val="32"/>
          <w:szCs w:val="32"/>
          <w:highlight w:val="none"/>
        </w:rPr>
        <w:t>等支出。</w:t>
      </w:r>
      <w:r>
        <w:rPr>
          <w:rFonts w:hint="eastAsia" w:ascii="仿宋_GB2312" w:hAnsi="仿宋_GB2312" w:eastAsia="仿宋_GB2312" w:cs="Times New Roman"/>
          <w:kern w:val="2"/>
          <w:sz w:val="32"/>
          <w:szCs w:val="20"/>
          <w:shd w:val="clear" w:color="auto" w:fill="FFFFFF"/>
          <w:lang w:val="en-US" w:eastAsia="zh-CN" w:bidi="ar"/>
        </w:rPr>
        <w:t>持平的主要原因是本部门严格控制公务接待费用，公务接待费用与上年预算数持平。</w:t>
      </w:r>
    </w:p>
    <w:p>
      <w:pPr>
        <w:pStyle w:val="15"/>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yellow"/>
        </w:rPr>
      </w:pPr>
      <w:r>
        <w:rPr>
          <w:rFonts w:hint="eastAsia" w:ascii="仿宋_GB2312" w:hAnsi="仿宋_GB2312" w:eastAsia="仿宋_GB2312" w:cs="Times New Roman"/>
          <w:kern w:val="2"/>
          <w:sz w:val="32"/>
          <w:szCs w:val="20"/>
          <w:shd w:val="clear" w:color="auto" w:fill="FFFFFF"/>
          <w:lang w:val="en-US" w:eastAsia="zh-CN" w:bidi="ar"/>
        </w:rPr>
        <w:t xml:space="preserve">3.公务用车购置及运行维护费：2024年安排公务用车购置及运行维护费预算 </w:t>
      </w:r>
      <w:r>
        <w:rPr>
          <w:rFonts w:hint="eastAsia" w:ascii="仿宋_GB2312" w:eastAsia="仿宋_GB2312"/>
          <w:sz w:val="32"/>
          <w:szCs w:val="32"/>
        </w:rPr>
        <w:t>0.00万</w:t>
      </w:r>
      <w:r>
        <w:rPr>
          <w:rFonts w:hint="eastAsia" w:ascii="仿宋_GB2312" w:hAnsi="仿宋_GB2312" w:eastAsia="仿宋_GB2312" w:cs="Times New Roman"/>
          <w:kern w:val="2"/>
          <w:sz w:val="32"/>
          <w:szCs w:val="20"/>
          <w:shd w:val="clear" w:color="auto" w:fill="FFFFFF"/>
          <w:lang w:val="en-US" w:eastAsia="zh-CN" w:bidi="ar"/>
        </w:rPr>
        <w:t>元，与上年预算数持平，增长比例不可计算。其中，公务用车购置支出</w:t>
      </w:r>
      <w:r>
        <w:rPr>
          <w:rFonts w:hint="eastAsia" w:ascii="仿宋_GB2312" w:eastAsia="仿宋_GB2312"/>
          <w:sz w:val="32"/>
          <w:szCs w:val="32"/>
        </w:rPr>
        <w:t>0.00</w:t>
      </w:r>
      <w:r>
        <w:rPr>
          <w:rFonts w:hint="eastAsia" w:ascii="仿宋_GB2312" w:hAnsi="仿宋_GB2312" w:eastAsia="仿宋_GB2312" w:cs="Times New Roman"/>
          <w:kern w:val="2"/>
          <w:sz w:val="32"/>
          <w:szCs w:val="20"/>
          <w:shd w:val="clear" w:color="auto" w:fill="FFFFFF"/>
          <w:lang w:val="en-US" w:eastAsia="zh-CN" w:bidi="ar"/>
        </w:rPr>
        <w:t xml:space="preserve"> 万元（含购置税等附加费用），主要用于经批准购置的 0 辆公务用车，与上年执行数持平，主要原因是本部门未安排公务用车固执费预算；公务用车运行维护费支出</w:t>
      </w:r>
      <w:r>
        <w:rPr>
          <w:rFonts w:hint="eastAsia" w:ascii="仿宋_GB2312" w:eastAsia="仿宋_GB2312"/>
          <w:sz w:val="32"/>
          <w:szCs w:val="32"/>
        </w:rPr>
        <w:t>0.00</w:t>
      </w:r>
      <w:r>
        <w:rPr>
          <w:rFonts w:hint="eastAsia" w:ascii="仿宋_GB2312" w:hAnsi="仿宋_GB2312" w:eastAsia="仿宋_GB2312" w:cs="Times New Roman"/>
          <w:kern w:val="2"/>
          <w:sz w:val="32"/>
          <w:szCs w:val="20"/>
          <w:shd w:val="clear" w:color="auto" w:fill="FFFFFF"/>
          <w:lang w:val="en-US" w:eastAsia="zh-CN" w:bidi="ar"/>
        </w:rPr>
        <w:t xml:space="preserve"> 万元，主要用于公务用车燃料</w:t>
      </w:r>
      <w:r>
        <w:rPr>
          <w:rFonts w:hint="eastAsia" w:ascii="仿宋_GB2312" w:hAnsi="Times New Roman" w:eastAsia="仿宋_GB2312" w:cs="Times New Roman"/>
          <w:b w:val="0"/>
          <w:color w:val="000000"/>
          <w:kern w:val="2"/>
          <w:sz w:val="32"/>
          <w:szCs w:val="32"/>
          <w:highlight w:val="none"/>
          <w:lang w:val="en-US" w:eastAsia="zh-CN" w:bidi="ar-SA"/>
        </w:rPr>
        <w:t>费、维修费、过桥过路费、保险费、安全奖励费用等支出。</w:t>
      </w:r>
      <w:r>
        <w:rPr>
          <w:rFonts w:hint="eastAsia" w:ascii="仿宋_GB2312" w:eastAsia="仿宋_GB2312" w:cs="Times New Roman"/>
          <w:b w:val="0"/>
          <w:color w:val="000000"/>
          <w:kern w:val="2"/>
          <w:sz w:val="32"/>
          <w:szCs w:val="32"/>
          <w:highlight w:val="none"/>
          <w:lang w:val="en-US" w:eastAsia="zh-CN" w:bidi="ar-SA"/>
        </w:rPr>
        <w:t>与上年预算数持平，增长比例不可计算，</w:t>
      </w:r>
      <w:r>
        <w:rPr>
          <w:rFonts w:hint="eastAsia" w:ascii="仿宋_GB2312" w:hAnsi="Times New Roman" w:eastAsia="仿宋_GB2312" w:cs="Times New Roman"/>
          <w:b w:val="0"/>
          <w:color w:val="000000"/>
          <w:kern w:val="2"/>
          <w:sz w:val="32"/>
          <w:szCs w:val="32"/>
          <w:highlight w:val="none"/>
          <w:lang w:val="en-US" w:eastAsia="zh-CN" w:bidi="ar-SA"/>
        </w:rPr>
        <w:t>主要原因是</w:t>
      </w:r>
      <w:r>
        <w:rPr>
          <w:rFonts w:hint="eastAsia" w:ascii="仿宋_GB2312" w:eastAsia="仿宋_GB2312" w:cs="Times New Roman"/>
          <w:b w:val="0"/>
          <w:color w:val="000000"/>
          <w:kern w:val="2"/>
          <w:sz w:val="32"/>
          <w:szCs w:val="32"/>
          <w:highlight w:val="none"/>
          <w:lang w:val="en-US" w:eastAsia="zh-CN" w:bidi="ar-SA"/>
        </w:rPr>
        <w:t>2023年及2024年</w:t>
      </w:r>
      <w:r>
        <w:rPr>
          <w:rFonts w:hint="eastAsia" w:ascii="仿宋_GB2312" w:hAnsi="Times New Roman" w:eastAsia="仿宋_GB2312" w:cs="Times New Roman"/>
          <w:b w:val="0"/>
          <w:color w:val="000000"/>
          <w:kern w:val="2"/>
          <w:sz w:val="32"/>
          <w:szCs w:val="32"/>
          <w:highlight w:val="none"/>
          <w:lang w:val="en-US" w:eastAsia="zh-CN" w:bidi="ar-SA"/>
        </w:rPr>
        <w:t>本部门</w:t>
      </w:r>
      <w:r>
        <w:rPr>
          <w:rFonts w:hint="eastAsia" w:ascii="仿宋_GB2312" w:eastAsia="仿宋_GB2312" w:cs="Times New Roman"/>
          <w:b w:val="0"/>
          <w:color w:val="000000"/>
          <w:kern w:val="2"/>
          <w:sz w:val="32"/>
          <w:szCs w:val="32"/>
          <w:highlight w:val="none"/>
          <w:lang w:val="en-US" w:eastAsia="zh-CN" w:bidi="ar-SA"/>
        </w:rPr>
        <w:t>均未安排公务用车运行维护费预算</w:t>
      </w:r>
      <w:r>
        <w:rPr>
          <w:rFonts w:hint="eastAsia" w:ascii="仿宋_GB2312" w:hAnsi="Times New Roman" w:eastAsia="仿宋_GB2312" w:cs="Times New Roman"/>
          <w:b w:val="0"/>
          <w:color w:val="000000"/>
          <w:kern w:val="2"/>
          <w:sz w:val="32"/>
          <w:szCs w:val="32"/>
          <w:highlight w:val="none"/>
          <w:lang w:val="en-US" w:eastAsia="zh-CN" w:bidi="ar-SA"/>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15"/>
        <w:spacing w:line="52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2024年台州市椒江区红十字会</w:t>
      </w:r>
      <w:r>
        <w:rPr>
          <w:rFonts w:hint="eastAsia" w:ascii="仿宋_GB2312" w:eastAsia="仿宋_GB2312"/>
          <w:color w:val="000000"/>
          <w:sz w:val="32"/>
          <w:szCs w:val="32"/>
        </w:rPr>
        <w:t>本级等</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家行政单位的机关运行经费财政拨款预算24.51万元，比上年预算增加</w:t>
      </w:r>
      <w:r>
        <w:rPr>
          <w:rFonts w:hint="eastAsia" w:ascii="仿宋_GB2312" w:eastAsia="仿宋_GB2312"/>
          <w:color w:val="000000"/>
          <w:sz w:val="32"/>
          <w:szCs w:val="32"/>
          <w:lang w:val="en-US" w:eastAsia="zh-CN"/>
        </w:rPr>
        <w:t>3.52</w:t>
      </w:r>
      <w:r>
        <w:rPr>
          <w:rFonts w:hint="eastAsia" w:ascii="仿宋_GB2312" w:eastAsia="仿宋_GB2312"/>
          <w:sz w:val="32"/>
          <w:szCs w:val="32"/>
        </w:rPr>
        <w:t>万元</w:t>
      </w:r>
      <w:r>
        <w:rPr>
          <w:rFonts w:hint="eastAsia" w:ascii="仿宋_GB2312" w:hAnsi="仿宋_GB2312" w:eastAsia="仿宋_GB2312"/>
          <w:kern w:val="2"/>
          <w:sz w:val="32"/>
          <w:szCs w:val="20"/>
        </w:rPr>
        <w:t>，增长</w:t>
      </w:r>
      <w:r>
        <w:rPr>
          <w:rFonts w:hint="eastAsia" w:ascii="仿宋_GB2312" w:hAnsi="仿宋_GB2312" w:eastAsia="仿宋_GB2312"/>
          <w:kern w:val="2"/>
          <w:sz w:val="32"/>
          <w:szCs w:val="20"/>
          <w:lang w:val="en-US" w:eastAsia="zh-CN"/>
        </w:rPr>
        <w:t>16.7</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val="en-US" w:eastAsia="zh-CN"/>
        </w:rPr>
        <w:t>2024年基数调整增加</w:t>
      </w:r>
      <w:r>
        <w:rPr>
          <w:rFonts w:hint="eastAsia" w:ascii="仿宋_GB2312" w:eastAsia="仿宋_GB2312"/>
          <w:color w:val="000000"/>
          <w:sz w:val="32"/>
          <w:szCs w:val="32"/>
        </w:rPr>
        <w:t>。</w:t>
      </w:r>
    </w:p>
    <w:p>
      <w:pPr>
        <w:pStyle w:val="15"/>
        <w:numPr>
          <w:ilvl w:val="0"/>
          <w:numId w:val="3"/>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rPr>
        <w:t>2024年台州市椒江区红十字会</w:t>
      </w:r>
      <w:r>
        <w:rPr>
          <w:rFonts w:hint="eastAsia" w:ascii="仿宋_GB2312" w:eastAsia="仿宋_GB2312"/>
          <w:color w:val="000000"/>
          <w:sz w:val="32"/>
          <w:szCs w:val="32"/>
        </w:rPr>
        <w:t>各单位政府采购预算总额</w:t>
      </w:r>
      <w:r>
        <w:rPr>
          <w:rFonts w:ascii="仿宋_GB2312" w:eastAsia="仿宋_GB2312"/>
          <w:color w:val="000000"/>
          <w:sz w:val="32"/>
          <w:szCs w:val="32"/>
        </w:rPr>
        <w:t>0.00</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0.00</w:t>
      </w:r>
      <w:r>
        <w:rPr>
          <w:rFonts w:hint="eastAsia" w:ascii="仿宋_GB2312" w:eastAsia="仿宋_GB2312"/>
          <w:color w:val="000000"/>
          <w:sz w:val="32"/>
          <w:szCs w:val="32"/>
        </w:rPr>
        <w:t>万元。</w:t>
      </w:r>
    </w:p>
    <w:p>
      <w:pPr>
        <w:pStyle w:val="15"/>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截至2023年12月31日，台州市椒江区红十字会所属各预算单位共有车辆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2024年部门预算未安排购置车辆、单位价值50万元以上通用设备及单位价值100万元以上专用设备</w:t>
      </w:r>
      <w:r>
        <w:rPr>
          <w:rFonts w:hint="eastAsia" w:ascii="仿宋_GB2312" w:hAnsi="仿宋_GB2312" w:eastAsia="仿宋_GB2312" w:cs="仿宋_GB2312"/>
          <w:sz w:val="32"/>
          <w:szCs w:val="32"/>
        </w:rPr>
        <w:t>。</w:t>
      </w:r>
    </w:p>
    <w:p>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pPr>
      <w:r>
        <w:rPr>
          <w:rFonts w:ascii="仿宋_GB2312" w:hAnsi="仿宋_GB2312" w:eastAsia="仿宋_GB2312" w:cs="仿宋_GB2312"/>
          <w:sz w:val="32"/>
          <w:szCs w:val="32"/>
        </w:rPr>
        <w:t>2024年台州市椒江区红十字会其他运转类项目和特定目标类项目均实行绩效目标管理，共计3个一级项目，涉及当年资金53.75万元。同时，将按照相关制度规定开展绩效自评。一级项目绩效目标表，详见“部门项目支出绩效表”</w:t>
      </w:r>
      <w:r>
        <w:rPr>
          <w:rFonts w:hint="eastAsia" w:ascii="仿宋_GB2312" w:hAnsi="仿宋_GB2312" w:eastAsia="仿宋_GB2312" w:cs="仿宋_GB2312"/>
          <w:sz w:val="32"/>
          <w:szCs w:val="32"/>
        </w:rPr>
        <w:t>。</w:t>
      </w:r>
    </w:p>
    <w:p>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6.上年结转：指以前年度尚未完成、结转到本年仍按原规定用途继续使用的资金。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9.经营支出：指事业单位在专业业务活动及其辅助活动之外开展非独立核算经营活动发生的支出。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6"/>
        <w:keepNext w:val="0"/>
        <w:keepLines w:val="0"/>
        <w:widowControl/>
        <w:suppressLineNumbers w:val="0"/>
        <w:snapToGrid w:val="0"/>
        <w:spacing w:before="0" w:beforeAutospacing="0" w:after="0" w:afterAutospacing="0" w:line="585" w:lineRule="atLeast"/>
        <w:ind w:left="0" w:right="0" w:firstLine="645"/>
        <w:jc w:val="left"/>
      </w:pPr>
      <w:r>
        <w:rPr>
          <w:rFonts w:hint="default" w:ascii="仿宋_GB2312" w:eastAsia="仿宋_GB2312" w:cs="仿宋_GB2312"/>
          <w:color w:val="000000"/>
          <w:sz w:val="31"/>
          <w:szCs w:val="31"/>
        </w:rPr>
        <w:t>1</w:t>
      </w:r>
      <w:r>
        <w:rPr>
          <w:rFonts w:hint="eastAsia" w:ascii="仿宋_GB2312" w:eastAsia="仿宋_GB2312" w:cs="仿宋_GB2312"/>
          <w:color w:val="000000"/>
          <w:sz w:val="31"/>
          <w:szCs w:val="31"/>
          <w:lang w:val="en-US" w:eastAsia="zh-CN"/>
        </w:rPr>
        <w:t>2</w:t>
      </w:r>
      <w:r>
        <w:rPr>
          <w:rFonts w:hint="default" w:ascii="仿宋_GB2312" w:eastAsia="仿宋_GB2312" w:cs="仿宋_GB2312"/>
          <w:color w:val="000000"/>
          <w:sz w:val="31"/>
          <w:szCs w:val="31"/>
        </w:rPr>
        <w:t>.支出功能科目：</w:t>
      </w:r>
    </w:p>
    <w:p>
      <w:pPr>
        <w:pStyle w:val="6"/>
        <w:keepNext w:val="0"/>
        <w:keepLines w:val="0"/>
        <w:widowControl/>
        <w:suppressLineNumbers w:val="0"/>
        <w:snapToGrid w:val="0"/>
        <w:spacing w:before="0" w:beforeAutospacing="0" w:after="0" w:afterAutospacing="0" w:line="585" w:lineRule="atLeast"/>
        <w:ind w:left="0" w:right="0" w:firstLine="48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（1）社会保障和就业（类）行政事业单位离退休（款）机关事业单位基本养老保险缴费支出（项）：反映机关事业单位实施养老保险制度由单位缴纳的基本养老保险费支出。</w:t>
      </w:r>
    </w:p>
    <w:p>
      <w:pPr>
        <w:pStyle w:val="6"/>
        <w:keepNext w:val="0"/>
        <w:keepLines w:val="0"/>
        <w:widowControl/>
        <w:suppressLineNumbers w:val="0"/>
        <w:snapToGrid w:val="0"/>
        <w:spacing w:before="0" w:beforeAutospacing="0" w:after="0" w:afterAutospacing="0" w:line="585" w:lineRule="atLeast"/>
        <w:ind w:left="0" w:right="0" w:firstLine="48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（2）社会保障和就业（类）行政事业单位离退休（款）机关事业单位职业年金缴费支出（项）：反映机关事业单位实施养老保险制度由单位实际缴纳的职业年金支出。</w:t>
      </w:r>
    </w:p>
    <w:p>
      <w:pPr>
        <w:pStyle w:val="6"/>
        <w:keepNext w:val="0"/>
        <w:keepLines w:val="0"/>
        <w:widowControl/>
        <w:suppressLineNumbers w:val="0"/>
        <w:snapToGrid w:val="0"/>
        <w:spacing w:before="0" w:beforeAutospacing="0" w:after="0" w:afterAutospacing="0" w:line="585" w:lineRule="atLeast"/>
        <w:ind w:left="0" w:right="0" w:firstLine="48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 （3）医疗卫生与计划生育支出（类）行政事业单位医疗（款）行政单位医疗（项）：指反映财政部门集中安排的行政单位基本医疗保险缴费经费，未参加医疗保险的行政单位的公费医疗经费，按国家规定享受离休人员、红军老战士待遇人员的医疗经费。</w:t>
      </w:r>
    </w:p>
    <w:p>
      <w:pPr>
        <w:pStyle w:val="6"/>
        <w:keepNext w:val="0"/>
        <w:keepLines w:val="0"/>
        <w:widowControl/>
        <w:suppressLineNumbers w:val="0"/>
        <w:snapToGrid w:val="0"/>
        <w:spacing w:before="0" w:beforeAutospacing="0" w:after="0" w:afterAutospacing="0" w:line="585" w:lineRule="atLeast"/>
        <w:ind w:left="0" w:right="0" w:firstLine="48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4）医疗卫生与计划生育支出（类）行政事业单位医疗（款）事业单位医疗（项）：指反映财政部门集中安排的事业单位基本医疗保险缴费经费，未参加医疗保险的事业单位的公费医疗经费，按国家规定享受离休人员待遇的医疗经费。</w:t>
      </w:r>
    </w:p>
    <w:p>
      <w:pPr>
        <w:pStyle w:val="6"/>
        <w:keepNext w:val="0"/>
        <w:keepLines w:val="0"/>
        <w:widowControl/>
        <w:suppressLineNumbers w:val="0"/>
        <w:snapToGrid w:val="0"/>
        <w:spacing w:before="0" w:beforeAutospacing="0" w:after="0" w:afterAutospacing="0" w:line="585" w:lineRule="atLeast"/>
        <w:ind w:left="0" w:right="0" w:firstLine="48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5）教育支出（类）进修及培训（款）培训支出（项）：指反映各部门安排的用于培训的支出。教育部门的师资培训、党校、行政学院等专业干部教育机构的支出，以及退役士兵、转业士官的培训支出，不在本科目反映。</w:t>
      </w:r>
    </w:p>
    <w:p>
      <w:pPr>
        <w:pStyle w:val="6"/>
        <w:keepNext w:val="0"/>
        <w:keepLines w:val="0"/>
        <w:widowControl/>
        <w:suppressLineNumbers w:val="0"/>
        <w:snapToGrid w:val="0"/>
        <w:spacing w:before="0" w:beforeAutospacing="0" w:after="0" w:afterAutospacing="0" w:line="585" w:lineRule="atLeast"/>
        <w:ind w:left="0" w:right="0" w:firstLine="480"/>
        <w:jc w:val="left"/>
        <w:rPr>
          <w:rFonts w:hint="default" w:ascii="仿宋_GB2312" w:eastAsia="仿宋_GB2312" w:cs="仿宋_GB2312"/>
          <w:color w:val="000000"/>
          <w:sz w:val="31"/>
          <w:szCs w:val="31"/>
        </w:rPr>
      </w:pPr>
      <w:r>
        <w:rPr>
          <w:rFonts w:hint="default" w:ascii="仿宋_GB2312" w:eastAsia="仿宋_GB2312" w:cs="仿宋_GB2312"/>
          <w:color w:val="000000"/>
          <w:sz w:val="31"/>
          <w:szCs w:val="31"/>
        </w:rPr>
        <w:t>（6）住房保障支出（类）住房改革支出（款）住房公积金（项）：指反映行政事业单位按人力资源和社会保障部、财政部规定的基本工资和津贴补贴以及规定比例为职工缴纳的住房公积金。</w:t>
      </w:r>
    </w:p>
    <w:p>
      <w:pPr>
        <w:pStyle w:val="2"/>
        <w:ind w:firstLine="620" w:firstLineChars="200"/>
      </w:pPr>
      <w:r>
        <w:rPr>
          <w:rFonts w:hint="eastAsia" w:ascii="仿宋_GB2312" w:eastAsia="仿宋_GB2312" w:cs="仿宋_GB2312"/>
          <w:color w:val="000000"/>
          <w:sz w:val="31"/>
          <w:szCs w:val="31"/>
          <w:lang w:val="en-US" w:eastAsia="zh-CN"/>
        </w:rPr>
        <w:t>13.</w:t>
      </w:r>
      <w:r>
        <w:rPr>
          <w:rFonts w:hint="default" w:ascii="仿宋_GB2312" w:eastAsia="仿宋_GB2312" w:cs="仿宋_GB2312"/>
          <w:color w:val="000000"/>
          <w:sz w:val="31"/>
          <w:szCs w:val="31"/>
        </w:rPr>
        <w:t>社会保障和就业支出（类）红十字事业（款）行政运行（项）</w:t>
      </w:r>
      <w:r>
        <w:rPr>
          <w:rFonts w:hint="eastAsia" w:ascii="仿宋_GB2312" w:eastAsia="仿宋_GB2312" w:cs="仿宋_GB2312"/>
          <w:color w:val="000000"/>
          <w:sz w:val="31"/>
          <w:szCs w:val="31"/>
          <w:lang w:val="en-US" w:eastAsia="zh-CN"/>
        </w:rPr>
        <w:t>：</w:t>
      </w:r>
      <w:r>
        <w:rPr>
          <w:rFonts w:hint="eastAsia" w:ascii="仿宋" w:hAnsi="仿宋" w:eastAsia="仿宋" w:cs="仿宋"/>
          <w:color w:val="000000"/>
          <w:sz w:val="32"/>
          <w:szCs w:val="32"/>
          <w:lang w:val="en-US" w:eastAsia="zh-CN"/>
        </w:rPr>
        <w:t>反映行政单位（包括实行公务员管理的事业单位）的基本支出。</w:t>
      </w:r>
    </w:p>
    <w:p>
      <w:pPr>
        <w:pStyle w:val="2"/>
        <w:ind w:firstLine="620" w:firstLineChars="200"/>
        <w:rPr>
          <w:rFonts w:hint="default" w:ascii="仿宋_GB2312" w:eastAsia="仿宋"/>
          <w:bCs/>
          <w:color w:val="auto"/>
          <w:sz w:val="32"/>
          <w:szCs w:val="32"/>
          <w:lang w:val="en-US" w:eastAsia="zh-CN"/>
        </w:rPr>
      </w:pPr>
      <w:r>
        <w:rPr>
          <w:rFonts w:hint="eastAsia" w:ascii="仿宋_GB2312" w:eastAsia="仿宋_GB2312" w:cs="仿宋_GB2312"/>
          <w:color w:val="000000"/>
          <w:sz w:val="31"/>
          <w:szCs w:val="31"/>
          <w:lang w:val="en-US" w:eastAsia="zh-CN"/>
        </w:rPr>
        <w:t>14.</w:t>
      </w:r>
      <w:r>
        <w:rPr>
          <w:rFonts w:hint="default" w:ascii="仿宋_GB2312" w:eastAsia="仿宋_GB2312" w:cs="仿宋_GB2312"/>
          <w:color w:val="000000"/>
          <w:sz w:val="31"/>
          <w:szCs w:val="31"/>
        </w:rPr>
        <w:t>社会保障和就业支出（类）红十字事业（款）一般行政管理事务（项）</w:t>
      </w:r>
      <w:r>
        <w:rPr>
          <w:rFonts w:hint="eastAsia" w:ascii="仿宋_GB2312" w:eastAsia="仿宋_GB2312" w:cs="仿宋_GB2312"/>
          <w:color w:val="000000"/>
          <w:sz w:val="31"/>
          <w:szCs w:val="31"/>
          <w:lang w:eastAsia="zh-CN"/>
        </w:rPr>
        <w:t>：</w:t>
      </w:r>
      <w:r>
        <w:rPr>
          <w:rFonts w:hint="eastAsia" w:ascii="仿宋" w:hAnsi="仿宋" w:eastAsia="仿宋" w:cs="仿宋"/>
          <w:color w:val="000000"/>
          <w:sz w:val="32"/>
          <w:szCs w:val="32"/>
          <w:lang w:val="en-US" w:eastAsia="zh-CN"/>
        </w:rPr>
        <w:t>反映行政单位（包括实行公务员管理的事业单位）未单独设置项级科目的其他项目支出。</w:t>
      </w:r>
    </w:p>
    <w:p>
      <w:pPr>
        <w:pStyle w:val="15"/>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eastAsia" w:ascii="黑体" w:hAnsi="黑体" w:eastAsia="黑体" w:cs="黑体"/>
          <w:b w:val="0"/>
          <w:bCs/>
          <w:kern w:val="2"/>
          <w:sz w:val="32"/>
          <w:szCs w:val="32"/>
          <w:highlight w:val="none"/>
          <w:lang w:val="en-US" w:eastAsia="zh-CN" w:bidi="ar-SA"/>
        </w:rPr>
      </w:pPr>
    </w:p>
    <w:p>
      <w:pPr>
        <w:pStyle w:val="15"/>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eastAsia" w:ascii="黑体" w:hAnsi="黑体" w:eastAsia="黑体" w:cs="黑体"/>
          <w:b w:val="0"/>
          <w:bCs/>
          <w:kern w:val="2"/>
          <w:sz w:val="32"/>
          <w:szCs w:val="32"/>
          <w:highlight w:val="none"/>
          <w:lang w:val="en-US" w:eastAsia="zh-CN" w:bidi="ar-SA"/>
        </w:rPr>
        <w:sectPr>
          <w:footerReference r:id="rId3" w:type="default"/>
          <w:pgSz w:w="11906" w:h="16838"/>
          <w:pgMar w:top="1440" w:right="1800" w:bottom="1440" w:left="1800" w:header="851" w:footer="992" w:gutter="0"/>
          <w:pgNumType w:start="6"/>
          <w:cols w:space="425" w:num="1"/>
          <w:docGrid w:type="lines" w:linePitch="312" w:charSpace="0"/>
        </w:sectPr>
      </w:pPr>
      <w:r>
        <w:rPr>
          <w:rFonts w:hint="eastAsia" w:ascii="黑体" w:hAnsi="黑体" w:eastAsia="黑体" w:cs="黑体"/>
          <w:b w:val="0"/>
          <w:bCs/>
          <w:kern w:val="2"/>
          <w:sz w:val="32"/>
          <w:szCs w:val="32"/>
          <w:highlight w:val="none"/>
          <w:lang w:val="en-US" w:eastAsia="zh-CN" w:bidi="ar-SA"/>
        </w:rPr>
        <w:t>四、2024 年台州市椒江区红十字会部门预算表</w:t>
      </w:r>
    </w:p>
    <w:p>
      <w:pPr>
        <w:jc w:val="center"/>
        <w:rPr>
          <w:rFonts w:hint="eastAsia" w:eastAsia="宋体"/>
          <w:lang w:eastAsia="zh-CN"/>
        </w:rPr>
      </w:pPr>
      <w:r>
        <w:rPr>
          <w:rFonts w:hint="eastAsia" w:eastAsia="宋体"/>
          <w:lang w:eastAsia="zh-CN"/>
        </w:rPr>
        <w:drawing>
          <wp:inline distT="0" distB="0" distL="114300" distR="114300">
            <wp:extent cx="6896100" cy="5029200"/>
            <wp:effectExtent l="0" t="0" r="0" b="0"/>
            <wp:docPr id="1" name="图片 1" descr="6048af97f34e609f1957847f938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48af97f34e609f1957847f9385747"/>
                    <pic:cNvPicPr>
                      <a:picLocks noChangeAspect="1"/>
                    </pic:cNvPicPr>
                  </pic:nvPicPr>
                  <pic:blipFill>
                    <a:blip r:embed="rId5"/>
                    <a:stretch>
                      <a:fillRect/>
                    </a:stretch>
                  </pic:blipFill>
                  <pic:spPr>
                    <a:xfrm>
                      <a:off x="0" y="0"/>
                      <a:ext cx="6896100" cy="5029200"/>
                    </a:xfrm>
                    <a:prstGeom prst="rect">
                      <a:avLst/>
                    </a:prstGeom>
                  </pic:spPr>
                </pic:pic>
              </a:graphicData>
            </a:graphic>
          </wp:inline>
        </w:drawing>
      </w:r>
    </w:p>
    <w:p>
      <w:pPr>
        <w:pStyle w:val="2"/>
        <w:jc w:val="center"/>
        <w:rPr>
          <w:rFonts w:hint="eastAsia"/>
          <w:lang w:eastAsia="zh-CN"/>
        </w:rPr>
      </w:pPr>
      <w:r>
        <w:rPr>
          <w:rFonts w:hint="eastAsia"/>
          <w:lang w:eastAsia="zh-CN"/>
        </w:rPr>
        <w:drawing>
          <wp:inline distT="0" distB="0" distL="114300" distR="114300">
            <wp:extent cx="6664960" cy="5268595"/>
            <wp:effectExtent l="0" t="0" r="2540" b="8255"/>
            <wp:docPr id="2" name="图片 2" descr="9b6921d416df9274c4bd8d25746c6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6921d416df9274c4bd8d25746c6f8"/>
                    <pic:cNvPicPr>
                      <a:picLocks noChangeAspect="1"/>
                    </pic:cNvPicPr>
                  </pic:nvPicPr>
                  <pic:blipFill>
                    <a:blip r:embed="rId6"/>
                    <a:stretch>
                      <a:fillRect/>
                    </a:stretch>
                  </pic:blipFill>
                  <pic:spPr>
                    <a:xfrm>
                      <a:off x="0" y="0"/>
                      <a:ext cx="6664960" cy="5268595"/>
                    </a:xfrm>
                    <a:prstGeom prst="rect">
                      <a:avLst/>
                    </a:prstGeom>
                  </pic:spPr>
                </pic:pic>
              </a:graphicData>
            </a:graphic>
          </wp:inline>
        </w:drawing>
      </w:r>
    </w:p>
    <w:p>
      <w:pPr>
        <w:pStyle w:val="2"/>
        <w:jc w:val="center"/>
        <w:rPr>
          <w:rFonts w:hint="eastAsia"/>
          <w:lang w:eastAsia="zh-CN"/>
        </w:rPr>
      </w:pPr>
      <w:r>
        <w:rPr>
          <w:rFonts w:hint="eastAsia"/>
          <w:lang w:eastAsia="zh-CN"/>
        </w:rPr>
        <w:drawing>
          <wp:inline distT="0" distB="0" distL="114300" distR="114300">
            <wp:extent cx="8858250" cy="1574165"/>
            <wp:effectExtent l="0" t="0" r="0" b="6985"/>
            <wp:docPr id="3" name="图片 3" descr="013445c25aec6314078faa3ea24f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3445c25aec6314078faa3ea24f46d"/>
                    <pic:cNvPicPr>
                      <a:picLocks noChangeAspect="1"/>
                    </pic:cNvPicPr>
                  </pic:nvPicPr>
                  <pic:blipFill>
                    <a:blip r:embed="rId7"/>
                    <a:stretch>
                      <a:fillRect/>
                    </a:stretch>
                  </pic:blipFill>
                  <pic:spPr>
                    <a:xfrm>
                      <a:off x="0" y="0"/>
                      <a:ext cx="8858250" cy="1574165"/>
                    </a:xfrm>
                    <a:prstGeom prst="rect">
                      <a:avLst/>
                    </a:prstGeom>
                  </pic:spPr>
                </pic:pic>
              </a:graphicData>
            </a:graphic>
          </wp:inline>
        </w:drawing>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r>
        <w:rPr>
          <w:rFonts w:hint="eastAsia"/>
          <w:lang w:eastAsia="zh-CN"/>
        </w:rPr>
        <w:drawing>
          <wp:inline distT="0" distB="0" distL="114300" distR="114300">
            <wp:extent cx="8054340" cy="5266690"/>
            <wp:effectExtent l="0" t="0" r="3810" b="10160"/>
            <wp:docPr id="4" name="图片 4" descr="cc978488b6a6b4797a00051f19b99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c978488b6a6b4797a00051f19b99b6"/>
                    <pic:cNvPicPr>
                      <a:picLocks noChangeAspect="1"/>
                    </pic:cNvPicPr>
                  </pic:nvPicPr>
                  <pic:blipFill>
                    <a:blip r:embed="rId8"/>
                    <a:stretch>
                      <a:fillRect/>
                    </a:stretch>
                  </pic:blipFill>
                  <pic:spPr>
                    <a:xfrm>
                      <a:off x="0" y="0"/>
                      <a:ext cx="8054340" cy="5266690"/>
                    </a:xfrm>
                    <a:prstGeom prst="rect">
                      <a:avLst/>
                    </a:prstGeom>
                  </pic:spPr>
                </pic:pic>
              </a:graphicData>
            </a:graphic>
          </wp:inline>
        </w:drawing>
      </w:r>
    </w:p>
    <w:p>
      <w:pPr>
        <w:pStyle w:val="2"/>
        <w:jc w:val="center"/>
        <w:rPr>
          <w:rFonts w:hint="eastAsia"/>
          <w:lang w:eastAsia="zh-CN"/>
        </w:rPr>
      </w:pPr>
      <w:r>
        <w:rPr>
          <w:rFonts w:hint="eastAsia"/>
          <w:lang w:eastAsia="zh-CN"/>
        </w:rPr>
        <w:drawing>
          <wp:inline distT="0" distB="0" distL="114300" distR="114300">
            <wp:extent cx="7576185" cy="5267325"/>
            <wp:effectExtent l="0" t="0" r="5715" b="9525"/>
            <wp:docPr id="5" name="图片 5" descr="8064d911f1cf897d70c756af1341f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064d911f1cf897d70c756af1341f65"/>
                    <pic:cNvPicPr>
                      <a:picLocks noChangeAspect="1"/>
                    </pic:cNvPicPr>
                  </pic:nvPicPr>
                  <pic:blipFill>
                    <a:blip r:embed="rId9"/>
                    <a:stretch>
                      <a:fillRect/>
                    </a:stretch>
                  </pic:blipFill>
                  <pic:spPr>
                    <a:xfrm>
                      <a:off x="0" y="0"/>
                      <a:ext cx="7576185" cy="5267325"/>
                    </a:xfrm>
                    <a:prstGeom prst="rect">
                      <a:avLst/>
                    </a:prstGeom>
                  </pic:spPr>
                </pic:pic>
              </a:graphicData>
            </a:graphic>
          </wp:inline>
        </w:drawing>
      </w:r>
    </w:p>
    <w:p>
      <w:pPr>
        <w:pStyle w:val="2"/>
        <w:jc w:val="center"/>
        <w:rPr>
          <w:rFonts w:hint="eastAsia"/>
          <w:lang w:eastAsia="zh-CN"/>
        </w:rPr>
      </w:pPr>
      <w:r>
        <w:rPr>
          <w:rFonts w:hint="eastAsia"/>
          <w:lang w:eastAsia="zh-CN"/>
        </w:rPr>
        <w:drawing>
          <wp:inline distT="0" distB="0" distL="114300" distR="114300">
            <wp:extent cx="7418070" cy="5264785"/>
            <wp:effectExtent l="0" t="0" r="11430" b="12065"/>
            <wp:docPr id="6" name="图片 6" descr="3bef11afaba83d55b72907f0e12f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bef11afaba83d55b72907f0e12f027"/>
                    <pic:cNvPicPr>
                      <a:picLocks noChangeAspect="1"/>
                    </pic:cNvPicPr>
                  </pic:nvPicPr>
                  <pic:blipFill>
                    <a:blip r:embed="rId10"/>
                    <a:stretch>
                      <a:fillRect/>
                    </a:stretch>
                  </pic:blipFill>
                  <pic:spPr>
                    <a:xfrm>
                      <a:off x="0" y="0"/>
                      <a:ext cx="7418070" cy="5264785"/>
                    </a:xfrm>
                    <a:prstGeom prst="rect">
                      <a:avLst/>
                    </a:prstGeom>
                  </pic:spPr>
                </pic:pic>
              </a:graphicData>
            </a:graphic>
          </wp:inline>
        </w:drawing>
      </w:r>
    </w:p>
    <w:p>
      <w:pPr>
        <w:pStyle w:val="2"/>
        <w:jc w:val="center"/>
        <w:rPr>
          <w:rFonts w:hint="eastAsia"/>
          <w:lang w:eastAsia="zh-CN"/>
        </w:rPr>
      </w:pPr>
      <w:r>
        <w:rPr>
          <w:rFonts w:hint="eastAsia"/>
          <w:lang w:eastAsia="zh-CN"/>
        </w:rPr>
        <w:drawing>
          <wp:inline distT="0" distB="0" distL="114300" distR="114300">
            <wp:extent cx="5933440" cy="5270500"/>
            <wp:effectExtent l="0" t="0" r="10160" b="6350"/>
            <wp:docPr id="7" name="图片 7" descr="fdd1045379a96d8f57f741dd8e8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dd1045379a96d8f57f741dd8e87f30"/>
                    <pic:cNvPicPr>
                      <a:picLocks noChangeAspect="1"/>
                    </pic:cNvPicPr>
                  </pic:nvPicPr>
                  <pic:blipFill>
                    <a:blip r:embed="rId11"/>
                    <a:stretch>
                      <a:fillRect/>
                    </a:stretch>
                  </pic:blipFill>
                  <pic:spPr>
                    <a:xfrm>
                      <a:off x="0" y="0"/>
                      <a:ext cx="5933440" cy="5270500"/>
                    </a:xfrm>
                    <a:prstGeom prst="rect">
                      <a:avLst/>
                    </a:prstGeom>
                  </pic:spPr>
                </pic:pic>
              </a:graphicData>
            </a:graphic>
          </wp:inline>
        </w:drawing>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r>
        <w:rPr>
          <w:rFonts w:hint="eastAsia"/>
          <w:lang w:eastAsia="zh-CN"/>
        </w:rPr>
        <w:drawing>
          <wp:inline distT="0" distB="0" distL="114300" distR="114300">
            <wp:extent cx="7734300" cy="2695575"/>
            <wp:effectExtent l="0" t="0" r="0" b="9525"/>
            <wp:docPr id="8" name="图片 8" descr="4e73f7b1a68042ef822d23d0ef133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e73f7b1a68042ef822d23d0ef133cc"/>
                    <pic:cNvPicPr>
                      <a:picLocks noChangeAspect="1"/>
                    </pic:cNvPicPr>
                  </pic:nvPicPr>
                  <pic:blipFill>
                    <a:blip r:embed="rId12"/>
                    <a:stretch>
                      <a:fillRect/>
                    </a:stretch>
                  </pic:blipFill>
                  <pic:spPr>
                    <a:xfrm>
                      <a:off x="0" y="0"/>
                      <a:ext cx="7734300" cy="2695575"/>
                    </a:xfrm>
                    <a:prstGeom prst="rect">
                      <a:avLst/>
                    </a:prstGeom>
                  </pic:spPr>
                </pic:pic>
              </a:graphicData>
            </a:graphic>
          </wp:inline>
        </w:drawing>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r>
        <w:rPr>
          <w:rFonts w:hint="eastAsia"/>
          <w:lang w:eastAsia="zh-CN"/>
        </w:rPr>
        <w:drawing>
          <wp:inline distT="0" distB="0" distL="114300" distR="114300">
            <wp:extent cx="8860790" cy="2090420"/>
            <wp:effectExtent l="0" t="0" r="16510" b="5080"/>
            <wp:docPr id="9" name="图片 9" descr="346e2a25a11615a9a00f533bb0ff1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46e2a25a11615a9a00f533bb0ff1d9"/>
                    <pic:cNvPicPr>
                      <a:picLocks noChangeAspect="1"/>
                    </pic:cNvPicPr>
                  </pic:nvPicPr>
                  <pic:blipFill>
                    <a:blip r:embed="rId13"/>
                    <a:stretch>
                      <a:fillRect/>
                    </a:stretch>
                  </pic:blipFill>
                  <pic:spPr>
                    <a:xfrm>
                      <a:off x="0" y="0"/>
                      <a:ext cx="8860790" cy="2090420"/>
                    </a:xfrm>
                    <a:prstGeom prst="rect">
                      <a:avLst/>
                    </a:prstGeom>
                  </pic:spPr>
                </pic:pic>
              </a:graphicData>
            </a:graphic>
          </wp:inline>
        </w:drawing>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r>
        <w:rPr>
          <w:rFonts w:hint="eastAsia"/>
          <w:lang w:eastAsia="zh-CN"/>
        </w:rPr>
        <w:drawing>
          <wp:inline distT="0" distB="0" distL="114300" distR="114300">
            <wp:extent cx="8862060" cy="1731645"/>
            <wp:effectExtent l="0" t="0" r="15240" b="1905"/>
            <wp:docPr id="10" name="图片 10" descr="dd2426b4a70f9ee2bbef2053fe81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d2426b4a70f9ee2bbef2053fe8192f"/>
                    <pic:cNvPicPr>
                      <a:picLocks noChangeAspect="1"/>
                    </pic:cNvPicPr>
                  </pic:nvPicPr>
                  <pic:blipFill>
                    <a:blip r:embed="rId14"/>
                    <a:stretch>
                      <a:fillRect/>
                    </a:stretch>
                  </pic:blipFill>
                  <pic:spPr>
                    <a:xfrm>
                      <a:off x="0" y="0"/>
                      <a:ext cx="8862060" cy="1731645"/>
                    </a:xfrm>
                    <a:prstGeom prst="rect">
                      <a:avLst/>
                    </a:prstGeom>
                  </pic:spPr>
                </pic:pic>
              </a:graphicData>
            </a:graphic>
          </wp:inline>
        </w:drawing>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r>
        <w:rPr>
          <w:rFonts w:hint="eastAsia"/>
          <w:lang w:eastAsia="zh-CN"/>
        </w:rPr>
        <w:drawing>
          <wp:inline distT="0" distB="0" distL="114300" distR="114300">
            <wp:extent cx="8862060" cy="2808605"/>
            <wp:effectExtent l="0" t="0" r="15240" b="10795"/>
            <wp:docPr id="11" name="图片 11" descr="8a4cbeea4b5ce267083e0bf5b13d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a4cbeea4b5ce267083e0bf5b13d7f8"/>
                    <pic:cNvPicPr>
                      <a:picLocks noChangeAspect="1"/>
                    </pic:cNvPicPr>
                  </pic:nvPicPr>
                  <pic:blipFill>
                    <a:blip r:embed="rId15"/>
                    <a:stretch>
                      <a:fillRect/>
                    </a:stretch>
                  </pic:blipFill>
                  <pic:spPr>
                    <a:xfrm>
                      <a:off x="0" y="0"/>
                      <a:ext cx="8862060" cy="2808605"/>
                    </a:xfrm>
                    <a:prstGeom prst="rect">
                      <a:avLst/>
                    </a:prstGeom>
                  </pic:spPr>
                </pic:pic>
              </a:graphicData>
            </a:graphic>
          </wp:inline>
        </w:drawing>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r>
        <w:rPr>
          <w:rFonts w:hint="eastAsia"/>
          <w:lang w:eastAsia="zh-CN"/>
        </w:rPr>
        <w:drawing>
          <wp:inline distT="0" distB="0" distL="114300" distR="114300">
            <wp:extent cx="8858250" cy="3819525"/>
            <wp:effectExtent l="0" t="0" r="0" b="9525"/>
            <wp:docPr id="12" name="图片 12" descr="9dd9834d2cdd3fb65f11208550dc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dd9834d2cdd3fb65f11208550dc27f"/>
                    <pic:cNvPicPr>
                      <a:picLocks noChangeAspect="1"/>
                    </pic:cNvPicPr>
                  </pic:nvPicPr>
                  <pic:blipFill>
                    <a:blip r:embed="rId16"/>
                    <a:stretch>
                      <a:fillRect/>
                    </a:stretch>
                  </pic:blipFill>
                  <pic:spPr>
                    <a:xfrm>
                      <a:off x="0" y="0"/>
                      <a:ext cx="8858250" cy="3819525"/>
                    </a:xfrm>
                    <a:prstGeom prst="rect">
                      <a:avLst/>
                    </a:prstGeom>
                  </pic:spPr>
                </pic:pic>
              </a:graphicData>
            </a:graphic>
          </wp:inline>
        </w:drawing>
      </w:r>
      <w:bookmarkStart w:id="0" w:name="_GoBack"/>
      <w:bookmarkEnd w:id="0"/>
    </w:p>
    <w:p>
      <w:pPr>
        <w:pStyle w:val="2"/>
        <w:jc w:val="both"/>
        <w:rPr>
          <w:rFonts w:hint="eastAsia"/>
          <w:lang w:eastAsia="zh-CN"/>
        </w:rPr>
      </w:pPr>
    </w:p>
    <w:p>
      <w:pPr>
        <w:pStyle w:val="2"/>
        <w:jc w:val="both"/>
        <w:rPr>
          <w:rFonts w:hint="eastAsia"/>
          <w:lang w:eastAsia="zh-CN"/>
        </w:rPr>
      </w:pPr>
      <w:r>
        <w:rPr>
          <w:rFonts w:hint="eastAsia"/>
          <w:lang w:eastAsia="zh-CN"/>
        </w:rPr>
        <w:t>本表数据可能存在尾差，系数据四舍五入所致。</w:t>
      </w:r>
    </w:p>
    <w:p>
      <w:pPr>
        <w:pStyle w:val="15"/>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eastAsia" w:ascii="黑体" w:hAnsi="黑体" w:eastAsia="黑体" w:cs="黑体"/>
          <w:b w:val="0"/>
          <w:bCs/>
          <w:kern w:val="2"/>
          <w:sz w:val="32"/>
          <w:szCs w:val="32"/>
          <w:highlight w:val="none"/>
          <w:lang w:val="en-US" w:eastAsia="zh-CN" w:bidi="ar-SA"/>
        </w:rPr>
      </w:pPr>
    </w:p>
    <w:p>
      <w:pPr>
        <w:spacing w:line="520" w:lineRule="exact"/>
      </w:pPr>
    </w:p>
    <w:p/>
    <w:sectPr>
      <w:pgSz w:w="16838" w:h="11906" w:orient="landscape"/>
      <w:pgMar w:top="1803" w:right="1440" w:bottom="1803" w:left="1440" w:header="851" w:footer="992" w:gutter="0"/>
      <w:paperSrc/>
      <w:pgNumType w:start="6"/>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861B0"/>
    <w:multiLevelType w:val="singleLevel"/>
    <w:tmpl w:val="143861B0"/>
    <w:lvl w:ilvl="0" w:tentative="0">
      <w:start w:val="3"/>
      <w:numFmt w:val="decimal"/>
      <w:lvlText w:val="%1."/>
      <w:lvlJc w:val="left"/>
      <w:pPr>
        <w:tabs>
          <w:tab w:val="left" w:pos="312"/>
        </w:tabs>
        <w:ind w:left="963" w:firstLine="0"/>
      </w:pPr>
    </w:lvl>
  </w:abstractNum>
  <w:abstractNum w:abstractNumId="1">
    <w:nsid w:val="5893F62F"/>
    <w:multiLevelType w:val="singleLevel"/>
    <w:tmpl w:val="5893F62F"/>
    <w:lvl w:ilvl="0" w:tentative="0">
      <w:start w:val="2"/>
      <w:numFmt w:val="decimal"/>
      <w:suff w:val="nothing"/>
      <w:lvlText w:val="%1."/>
      <w:lvlJc w:val="left"/>
    </w:lvl>
  </w:abstractNum>
  <w:abstractNum w:abstractNumId="2">
    <w:nsid w:val="5895A99C"/>
    <w:multiLevelType w:val="singleLevel"/>
    <w:tmpl w:val="5895A99C"/>
    <w:lvl w:ilvl="0" w:tentative="0">
      <w:start w:val="5"/>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ZmZWE1MWRjNzRlY2ZkZTcxOTY1ZTk4NmQxNTk3NWEifQ=="/>
  </w:docVars>
  <w:rsids>
    <w:rsidRoot w:val="0018453C"/>
    <w:rsid w:val="0002642F"/>
    <w:rsid w:val="00037FBA"/>
    <w:rsid w:val="00084C3B"/>
    <w:rsid w:val="000F6704"/>
    <w:rsid w:val="0014553D"/>
    <w:rsid w:val="00151805"/>
    <w:rsid w:val="0018453C"/>
    <w:rsid w:val="00225BBF"/>
    <w:rsid w:val="00233C98"/>
    <w:rsid w:val="0025199F"/>
    <w:rsid w:val="00262069"/>
    <w:rsid w:val="00262BFB"/>
    <w:rsid w:val="0029677C"/>
    <w:rsid w:val="002D46DD"/>
    <w:rsid w:val="002E190E"/>
    <w:rsid w:val="00312421"/>
    <w:rsid w:val="0034320B"/>
    <w:rsid w:val="0035041B"/>
    <w:rsid w:val="003533AA"/>
    <w:rsid w:val="00372A55"/>
    <w:rsid w:val="0039638D"/>
    <w:rsid w:val="003A54FF"/>
    <w:rsid w:val="003C7BA3"/>
    <w:rsid w:val="004B141E"/>
    <w:rsid w:val="004B1C55"/>
    <w:rsid w:val="004C1A7E"/>
    <w:rsid w:val="004F65D0"/>
    <w:rsid w:val="004F6D96"/>
    <w:rsid w:val="0054517F"/>
    <w:rsid w:val="0055355B"/>
    <w:rsid w:val="00576237"/>
    <w:rsid w:val="005C2E6B"/>
    <w:rsid w:val="005E47B3"/>
    <w:rsid w:val="005E7D52"/>
    <w:rsid w:val="00655F61"/>
    <w:rsid w:val="00667EBC"/>
    <w:rsid w:val="006C39E2"/>
    <w:rsid w:val="006D5442"/>
    <w:rsid w:val="006D7FE3"/>
    <w:rsid w:val="006E0740"/>
    <w:rsid w:val="006E085B"/>
    <w:rsid w:val="006F455E"/>
    <w:rsid w:val="007072D9"/>
    <w:rsid w:val="0073245A"/>
    <w:rsid w:val="007715EF"/>
    <w:rsid w:val="007A0C65"/>
    <w:rsid w:val="007B431F"/>
    <w:rsid w:val="007E4CC3"/>
    <w:rsid w:val="007E5EFB"/>
    <w:rsid w:val="00801E01"/>
    <w:rsid w:val="00834DDF"/>
    <w:rsid w:val="00850DC9"/>
    <w:rsid w:val="00882C0A"/>
    <w:rsid w:val="0089440C"/>
    <w:rsid w:val="009415A1"/>
    <w:rsid w:val="009427F2"/>
    <w:rsid w:val="00943339"/>
    <w:rsid w:val="009444AA"/>
    <w:rsid w:val="009A7459"/>
    <w:rsid w:val="009B71E7"/>
    <w:rsid w:val="009C4B77"/>
    <w:rsid w:val="00A76362"/>
    <w:rsid w:val="00A86842"/>
    <w:rsid w:val="00AB2741"/>
    <w:rsid w:val="00AC7742"/>
    <w:rsid w:val="00B109C2"/>
    <w:rsid w:val="00B7532A"/>
    <w:rsid w:val="00BA6311"/>
    <w:rsid w:val="00C35F38"/>
    <w:rsid w:val="00C47BB8"/>
    <w:rsid w:val="00C52D1F"/>
    <w:rsid w:val="00C75827"/>
    <w:rsid w:val="00CA4684"/>
    <w:rsid w:val="00CE3F52"/>
    <w:rsid w:val="00D81B35"/>
    <w:rsid w:val="00DA6F5B"/>
    <w:rsid w:val="00DA7F84"/>
    <w:rsid w:val="00E16E78"/>
    <w:rsid w:val="00E20FB4"/>
    <w:rsid w:val="00E37BE0"/>
    <w:rsid w:val="00E40834"/>
    <w:rsid w:val="00E429D8"/>
    <w:rsid w:val="00E44C58"/>
    <w:rsid w:val="00E72378"/>
    <w:rsid w:val="00E925CD"/>
    <w:rsid w:val="00F23B56"/>
    <w:rsid w:val="00F56A05"/>
    <w:rsid w:val="00F6374C"/>
    <w:rsid w:val="00F7116F"/>
    <w:rsid w:val="00F73C07"/>
    <w:rsid w:val="00F82550"/>
    <w:rsid w:val="00FB1AD5"/>
    <w:rsid w:val="01405C62"/>
    <w:rsid w:val="015C0D77"/>
    <w:rsid w:val="01F263DB"/>
    <w:rsid w:val="024C6702"/>
    <w:rsid w:val="02632622"/>
    <w:rsid w:val="026505B4"/>
    <w:rsid w:val="028630A1"/>
    <w:rsid w:val="03AA3E3B"/>
    <w:rsid w:val="03EA5C50"/>
    <w:rsid w:val="05054F3D"/>
    <w:rsid w:val="05227854"/>
    <w:rsid w:val="0538011A"/>
    <w:rsid w:val="054D0FA3"/>
    <w:rsid w:val="05F46152"/>
    <w:rsid w:val="05F835B0"/>
    <w:rsid w:val="063B27DE"/>
    <w:rsid w:val="06425AFA"/>
    <w:rsid w:val="065E25EC"/>
    <w:rsid w:val="06835E42"/>
    <w:rsid w:val="06FC7ED4"/>
    <w:rsid w:val="07623DA7"/>
    <w:rsid w:val="077B34F3"/>
    <w:rsid w:val="07907D66"/>
    <w:rsid w:val="081119C7"/>
    <w:rsid w:val="081A0728"/>
    <w:rsid w:val="08DE4DFD"/>
    <w:rsid w:val="08FE14ED"/>
    <w:rsid w:val="09C31824"/>
    <w:rsid w:val="0A1D1E06"/>
    <w:rsid w:val="0A4C7CCD"/>
    <w:rsid w:val="0B486D9D"/>
    <w:rsid w:val="0BD448F3"/>
    <w:rsid w:val="0C7B7749"/>
    <w:rsid w:val="0CE2397A"/>
    <w:rsid w:val="0CEE5818"/>
    <w:rsid w:val="0DDF3EA9"/>
    <w:rsid w:val="0F0A0BC6"/>
    <w:rsid w:val="0F3E23E2"/>
    <w:rsid w:val="0F5C4EB1"/>
    <w:rsid w:val="0F760C96"/>
    <w:rsid w:val="0FFC24E5"/>
    <w:rsid w:val="1085571C"/>
    <w:rsid w:val="11387C8E"/>
    <w:rsid w:val="119C1C51"/>
    <w:rsid w:val="124E1058"/>
    <w:rsid w:val="12970A77"/>
    <w:rsid w:val="12B72665"/>
    <w:rsid w:val="12D300E7"/>
    <w:rsid w:val="13725DAD"/>
    <w:rsid w:val="13811EEE"/>
    <w:rsid w:val="14EF3497"/>
    <w:rsid w:val="153C45B3"/>
    <w:rsid w:val="15420797"/>
    <w:rsid w:val="157947AC"/>
    <w:rsid w:val="15DB09EF"/>
    <w:rsid w:val="1650535C"/>
    <w:rsid w:val="165642D9"/>
    <w:rsid w:val="16F374C9"/>
    <w:rsid w:val="17EC7FC1"/>
    <w:rsid w:val="17F81734"/>
    <w:rsid w:val="180D7344"/>
    <w:rsid w:val="18D04290"/>
    <w:rsid w:val="18EF3804"/>
    <w:rsid w:val="195C3A7E"/>
    <w:rsid w:val="1A14325B"/>
    <w:rsid w:val="1A2375F0"/>
    <w:rsid w:val="1A9C6906"/>
    <w:rsid w:val="1AC0275A"/>
    <w:rsid w:val="1B1D1342"/>
    <w:rsid w:val="1B2A6629"/>
    <w:rsid w:val="1C103D2D"/>
    <w:rsid w:val="1C1965EC"/>
    <w:rsid w:val="1C2C3BB7"/>
    <w:rsid w:val="1C652CAB"/>
    <w:rsid w:val="1C7701B9"/>
    <w:rsid w:val="1D99665F"/>
    <w:rsid w:val="1E2850F6"/>
    <w:rsid w:val="1E5122F2"/>
    <w:rsid w:val="1E621D9B"/>
    <w:rsid w:val="1E945AB3"/>
    <w:rsid w:val="1EBB0876"/>
    <w:rsid w:val="1EFB5835"/>
    <w:rsid w:val="2008260C"/>
    <w:rsid w:val="205247F6"/>
    <w:rsid w:val="20C21B5F"/>
    <w:rsid w:val="20D018DC"/>
    <w:rsid w:val="20D8491F"/>
    <w:rsid w:val="217D79B3"/>
    <w:rsid w:val="219B3B12"/>
    <w:rsid w:val="21F8300E"/>
    <w:rsid w:val="22A22428"/>
    <w:rsid w:val="22D4227E"/>
    <w:rsid w:val="22FA27EC"/>
    <w:rsid w:val="230477A4"/>
    <w:rsid w:val="234550B7"/>
    <w:rsid w:val="23565231"/>
    <w:rsid w:val="2384696C"/>
    <w:rsid w:val="23B968AE"/>
    <w:rsid w:val="240772FF"/>
    <w:rsid w:val="24183DF0"/>
    <w:rsid w:val="247778DD"/>
    <w:rsid w:val="247A77A8"/>
    <w:rsid w:val="2492204D"/>
    <w:rsid w:val="24D6630F"/>
    <w:rsid w:val="24F829C8"/>
    <w:rsid w:val="24F84929"/>
    <w:rsid w:val="257B506C"/>
    <w:rsid w:val="25DE1005"/>
    <w:rsid w:val="25F31947"/>
    <w:rsid w:val="260A1E20"/>
    <w:rsid w:val="26816946"/>
    <w:rsid w:val="26DB7398"/>
    <w:rsid w:val="2705728B"/>
    <w:rsid w:val="27417BF8"/>
    <w:rsid w:val="27693B45"/>
    <w:rsid w:val="283A129B"/>
    <w:rsid w:val="294F0255"/>
    <w:rsid w:val="29DF16A7"/>
    <w:rsid w:val="29F74F67"/>
    <w:rsid w:val="2A484907"/>
    <w:rsid w:val="2B755902"/>
    <w:rsid w:val="2BA81833"/>
    <w:rsid w:val="2BAC3F70"/>
    <w:rsid w:val="2C56166B"/>
    <w:rsid w:val="2C772798"/>
    <w:rsid w:val="2CC5167C"/>
    <w:rsid w:val="2CE33635"/>
    <w:rsid w:val="2D391980"/>
    <w:rsid w:val="2DE95528"/>
    <w:rsid w:val="2E67780F"/>
    <w:rsid w:val="2ED263DE"/>
    <w:rsid w:val="2EDC147D"/>
    <w:rsid w:val="2F312BD6"/>
    <w:rsid w:val="2F4F315F"/>
    <w:rsid w:val="2F5260FE"/>
    <w:rsid w:val="30780EC9"/>
    <w:rsid w:val="31C46552"/>
    <w:rsid w:val="31EC7268"/>
    <w:rsid w:val="32691E0F"/>
    <w:rsid w:val="33722AF4"/>
    <w:rsid w:val="339F5B7F"/>
    <w:rsid w:val="345A4B8C"/>
    <w:rsid w:val="348C692F"/>
    <w:rsid w:val="34A77A31"/>
    <w:rsid w:val="34F20284"/>
    <w:rsid w:val="354F6355"/>
    <w:rsid w:val="3570347C"/>
    <w:rsid w:val="35FC37F1"/>
    <w:rsid w:val="3619346A"/>
    <w:rsid w:val="37DD34EA"/>
    <w:rsid w:val="3859649B"/>
    <w:rsid w:val="38635F53"/>
    <w:rsid w:val="386D2696"/>
    <w:rsid w:val="39103ACE"/>
    <w:rsid w:val="39227B1B"/>
    <w:rsid w:val="39406911"/>
    <w:rsid w:val="39850296"/>
    <w:rsid w:val="39C26750"/>
    <w:rsid w:val="3A7F1D43"/>
    <w:rsid w:val="3A8D223E"/>
    <w:rsid w:val="3B291386"/>
    <w:rsid w:val="3B563038"/>
    <w:rsid w:val="3B80307E"/>
    <w:rsid w:val="3BCA7BD7"/>
    <w:rsid w:val="3C6C37E2"/>
    <w:rsid w:val="3C7D1C3F"/>
    <w:rsid w:val="3CFD6A0C"/>
    <w:rsid w:val="3E431765"/>
    <w:rsid w:val="400943B7"/>
    <w:rsid w:val="40143523"/>
    <w:rsid w:val="406B2735"/>
    <w:rsid w:val="4171469C"/>
    <w:rsid w:val="42C454C8"/>
    <w:rsid w:val="431A2687"/>
    <w:rsid w:val="433A03BF"/>
    <w:rsid w:val="43482ADF"/>
    <w:rsid w:val="43497E11"/>
    <w:rsid w:val="438C52D1"/>
    <w:rsid w:val="43AF1DC7"/>
    <w:rsid w:val="43B57349"/>
    <w:rsid w:val="442360D8"/>
    <w:rsid w:val="450B3104"/>
    <w:rsid w:val="45374F70"/>
    <w:rsid w:val="45E922E2"/>
    <w:rsid w:val="46181B9F"/>
    <w:rsid w:val="46B73DB3"/>
    <w:rsid w:val="46B85A12"/>
    <w:rsid w:val="46C20ABF"/>
    <w:rsid w:val="471C5409"/>
    <w:rsid w:val="475E76EE"/>
    <w:rsid w:val="47645604"/>
    <w:rsid w:val="47AC0459"/>
    <w:rsid w:val="47B54AE2"/>
    <w:rsid w:val="484652C3"/>
    <w:rsid w:val="489E735B"/>
    <w:rsid w:val="48AA0CAC"/>
    <w:rsid w:val="48EF215B"/>
    <w:rsid w:val="49547ADE"/>
    <w:rsid w:val="499358EA"/>
    <w:rsid w:val="4AB935E6"/>
    <w:rsid w:val="4B1F601E"/>
    <w:rsid w:val="4B65339C"/>
    <w:rsid w:val="4BE2220E"/>
    <w:rsid w:val="4D097364"/>
    <w:rsid w:val="4D7808AB"/>
    <w:rsid w:val="4DC87963"/>
    <w:rsid w:val="4DEB1983"/>
    <w:rsid w:val="4EBD760D"/>
    <w:rsid w:val="4EED2017"/>
    <w:rsid w:val="4F0B2DEE"/>
    <w:rsid w:val="4F2E2211"/>
    <w:rsid w:val="4F4E78CD"/>
    <w:rsid w:val="4FA62E1E"/>
    <w:rsid w:val="4FE85961"/>
    <w:rsid w:val="50341189"/>
    <w:rsid w:val="50837233"/>
    <w:rsid w:val="514C5668"/>
    <w:rsid w:val="51513799"/>
    <w:rsid w:val="518C29B6"/>
    <w:rsid w:val="52170DB7"/>
    <w:rsid w:val="52AA23A8"/>
    <w:rsid w:val="52B7187A"/>
    <w:rsid w:val="53A5465B"/>
    <w:rsid w:val="53B6028C"/>
    <w:rsid w:val="53DB4D25"/>
    <w:rsid w:val="54392B16"/>
    <w:rsid w:val="54442E65"/>
    <w:rsid w:val="545B2AA1"/>
    <w:rsid w:val="549B5701"/>
    <w:rsid w:val="54A9277D"/>
    <w:rsid w:val="553F16B7"/>
    <w:rsid w:val="558856A9"/>
    <w:rsid w:val="55C97B23"/>
    <w:rsid w:val="55CA2A9E"/>
    <w:rsid w:val="55E50F1B"/>
    <w:rsid w:val="565F6886"/>
    <w:rsid w:val="567813BA"/>
    <w:rsid w:val="56BC237C"/>
    <w:rsid w:val="56C00077"/>
    <w:rsid w:val="56CD4B4D"/>
    <w:rsid w:val="56E65062"/>
    <w:rsid w:val="575867DA"/>
    <w:rsid w:val="5798381B"/>
    <w:rsid w:val="585447AE"/>
    <w:rsid w:val="58EC4DE1"/>
    <w:rsid w:val="59EC6E24"/>
    <w:rsid w:val="5A0B2520"/>
    <w:rsid w:val="5A186813"/>
    <w:rsid w:val="5A3B2376"/>
    <w:rsid w:val="5A40591F"/>
    <w:rsid w:val="5A6F0692"/>
    <w:rsid w:val="5ABF2E42"/>
    <w:rsid w:val="5B586398"/>
    <w:rsid w:val="5B916903"/>
    <w:rsid w:val="5BCC4E68"/>
    <w:rsid w:val="5BEF472E"/>
    <w:rsid w:val="5C932202"/>
    <w:rsid w:val="5CC87E6F"/>
    <w:rsid w:val="5CD918EA"/>
    <w:rsid w:val="5D247D3D"/>
    <w:rsid w:val="5DAE1AC9"/>
    <w:rsid w:val="5E153AF5"/>
    <w:rsid w:val="5E293727"/>
    <w:rsid w:val="5E7A2525"/>
    <w:rsid w:val="5F0E1E7F"/>
    <w:rsid w:val="5F112305"/>
    <w:rsid w:val="5F1476E7"/>
    <w:rsid w:val="5F213803"/>
    <w:rsid w:val="5F2767B3"/>
    <w:rsid w:val="5FE31F70"/>
    <w:rsid w:val="60045498"/>
    <w:rsid w:val="614C1844"/>
    <w:rsid w:val="614F46D3"/>
    <w:rsid w:val="617A6C2D"/>
    <w:rsid w:val="618968F0"/>
    <w:rsid w:val="619E6355"/>
    <w:rsid w:val="61BD64DA"/>
    <w:rsid w:val="6215384D"/>
    <w:rsid w:val="62AC06BC"/>
    <w:rsid w:val="633B4987"/>
    <w:rsid w:val="63525D55"/>
    <w:rsid w:val="64C20A08"/>
    <w:rsid w:val="64E24AB9"/>
    <w:rsid w:val="64F06443"/>
    <w:rsid w:val="65737FB9"/>
    <w:rsid w:val="65DF5ECF"/>
    <w:rsid w:val="66A662C4"/>
    <w:rsid w:val="67222B8A"/>
    <w:rsid w:val="679D182D"/>
    <w:rsid w:val="67BB6396"/>
    <w:rsid w:val="68197E1D"/>
    <w:rsid w:val="685045A6"/>
    <w:rsid w:val="688621C1"/>
    <w:rsid w:val="68C15BDE"/>
    <w:rsid w:val="68F24564"/>
    <w:rsid w:val="690130CE"/>
    <w:rsid w:val="699562A3"/>
    <w:rsid w:val="69E95327"/>
    <w:rsid w:val="6AD23ACD"/>
    <w:rsid w:val="6B315A81"/>
    <w:rsid w:val="6C3F4637"/>
    <w:rsid w:val="6C9D07C7"/>
    <w:rsid w:val="6CB426A8"/>
    <w:rsid w:val="6D3835CD"/>
    <w:rsid w:val="6DDF18A8"/>
    <w:rsid w:val="6E7742D5"/>
    <w:rsid w:val="6E947A29"/>
    <w:rsid w:val="6F940B51"/>
    <w:rsid w:val="701E0D35"/>
    <w:rsid w:val="70C735D1"/>
    <w:rsid w:val="717A54B6"/>
    <w:rsid w:val="72AF23A1"/>
    <w:rsid w:val="72BF52A3"/>
    <w:rsid w:val="73520170"/>
    <w:rsid w:val="73B32D5B"/>
    <w:rsid w:val="74EA0661"/>
    <w:rsid w:val="75127B2A"/>
    <w:rsid w:val="75272590"/>
    <w:rsid w:val="756B70AB"/>
    <w:rsid w:val="759D7389"/>
    <w:rsid w:val="7617390F"/>
    <w:rsid w:val="762D45E7"/>
    <w:rsid w:val="76346231"/>
    <w:rsid w:val="76432C97"/>
    <w:rsid w:val="76472E5B"/>
    <w:rsid w:val="773F1B2E"/>
    <w:rsid w:val="776141C0"/>
    <w:rsid w:val="77E71EE7"/>
    <w:rsid w:val="78403651"/>
    <w:rsid w:val="784051C1"/>
    <w:rsid w:val="789E16E5"/>
    <w:rsid w:val="78DB40C6"/>
    <w:rsid w:val="7954401D"/>
    <w:rsid w:val="79547EF1"/>
    <w:rsid w:val="79A24C96"/>
    <w:rsid w:val="7AE80A7B"/>
    <w:rsid w:val="7B5E14E4"/>
    <w:rsid w:val="7B741965"/>
    <w:rsid w:val="7BBF78B4"/>
    <w:rsid w:val="7BFE30BC"/>
    <w:rsid w:val="7CD24C07"/>
    <w:rsid w:val="7CDD0037"/>
    <w:rsid w:val="7D6C2012"/>
    <w:rsid w:val="7D8E6DCC"/>
    <w:rsid w:val="7D8F4D87"/>
    <w:rsid w:val="7DBB66FE"/>
    <w:rsid w:val="7DBE27C1"/>
    <w:rsid w:val="7DCA5F0F"/>
    <w:rsid w:val="7DD27BA7"/>
    <w:rsid w:val="7E1F736F"/>
    <w:rsid w:val="7E366AB8"/>
    <w:rsid w:val="7E53316F"/>
    <w:rsid w:val="7EF60637"/>
    <w:rsid w:val="7F805B09"/>
    <w:rsid w:val="7F9B365A"/>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autoRedefine/>
    <w:semiHidden/>
    <w:qFormat/>
    <w:uiPriority w:val="0"/>
    <w:pPr>
      <w:shd w:val="clear" w:color="auto" w:fill="000080"/>
    </w:p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bCs/>
    </w:rPr>
  </w:style>
  <w:style w:type="paragraph" w:customStyle="1" w:styleId="11">
    <w:name w:val="Char"/>
    <w:basedOn w:val="1"/>
    <w:autoRedefine/>
    <w:qFormat/>
    <w:uiPriority w:val="0"/>
    <w:rPr>
      <w:rFonts w:ascii="宋体" w:hAnsi="宋体" w:cs="Courier New"/>
      <w:sz w:val="32"/>
      <w:szCs w:val="32"/>
    </w:rPr>
  </w:style>
  <w:style w:type="character" w:customStyle="1" w:styleId="12">
    <w:name w:val="页眉 Char"/>
    <w:link w:val="5"/>
    <w:autoRedefine/>
    <w:qFormat/>
    <w:uiPriority w:val="0"/>
    <w:rPr>
      <w:kern w:val="2"/>
      <w:sz w:val="18"/>
      <w:szCs w:val="18"/>
    </w:rPr>
  </w:style>
  <w:style w:type="character" w:customStyle="1" w:styleId="13">
    <w:name w:val="页脚 Char"/>
    <w:link w:val="4"/>
    <w:autoRedefine/>
    <w:qFormat/>
    <w:uiPriority w:val="0"/>
    <w:rPr>
      <w:kern w:val="2"/>
      <w:sz w:val="18"/>
      <w:szCs w:val="18"/>
    </w:rPr>
  </w:style>
  <w:style w:type="paragraph" w:customStyle="1" w:styleId="14">
    <w:name w:val="[Normal]"/>
    <w:autoRedefine/>
    <w:qFormat/>
    <w:uiPriority w:val="0"/>
    <w:rPr>
      <w:rFonts w:ascii="宋体" w:hAnsi="宋体" w:eastAsia="宋体" w:cs="Times New Roman"/>
      <w:sz w:val="24"/>
      <w:lang w:val="zh-CN" w:eastAsia="zh-CN" w:bidi="ar-SA"/>
    </w:rPr>
  </w:style>
  <w:style w:type="paragraph" w:customStyle="1" w:styleId="15">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19</Pages>
  <Words>9582</Words>
  <Characters>17669</Characters>
  <Lines>147</Lines>
  <Paragraphs>54</Paragraphs>
  <TotalTime>3</TotalTime>
  <ScaleCrop>false</ScaleCrop>
  <LinksUpToDate>false</LinksUpToDate>
  <CharactersWithSpaces>27197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2020-01-06T08:45:00Z</dcterms:created>
  <dc:creator>dsx</dc:creator>
  <cp:lastModifiedBy>珉浩麻麻</cp:lastModifiedBy>
  <dcterms:modified xsi:type="dcterms:W3CDTF">2024-03-13T05:32:22Z</dcterms:modified>
  <dc:title>关于2019年部门预算的批复</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EDOID">
    <vt:r8>5838458</vt:r8>
  </property>
  <property fmtid="{D5CDD505-2E9C-101B-9397-08002B2CF9AE}" pid="4" name="ICV">
    <vt:lpwstr>E7E435903E954F16B3A6550F30CE4D1E</vt:lpwstr>
  </property>
</Properties>
</file>